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spacing w:before="120" w:beforeAutospacing="0" w:after="120" w:afterAutospacing="0" w:line="360" w:lineRule="auto"/>
        <w:rPr>
          <w:highlight w:val="none"/>
        </w:rPr>
      </w:pPr>
      <w:r>
        <w:rPr>
          <w:highlight w:val="none"/>
        </w:rPr>
      </w:r>
      <w:r/>
    </w:p>
    <w:p>
      <w:pPr>
        <w:pStyle w:val="84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44"/>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4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44"/>
        <w:ind w:firstLine="0"/>
        <w:keepLines w:val="0"/>
        <w:keepNext w:val="0"/>
        <w:pageBreakBefore w:val="0"/>
        <w:spacing w:before="120" w:beforeAutospacing="0" w:after="120" w:afterAutospacing="0" w:line="36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44"/>
        <w:ind w:firstLine="0"/>
        <w:keepLines w:val="0"/>
        <w:keepNext w:val="0"/>
        <w:pageBreakBefore w:val="0"/>
        <w:spacing w:before="120" w:beforeAutospacing="0" w:after="120" w:afterAutospacing="0" w:line="360" w:lineRule="auto"/>
        <w:widowControl w:val="off"/>
        <w:rPr>
          <w:rFonts w:hint="eastAsia" w:eastAsia="宋体"/>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江苏省盐城技师学院电气工程学院工业机器人应用与维护设备设施采购项目</w:t>
      </w:r>
      <w:r/>
    </w:p>
    <w:p>
      <w:pPr>
        <w:pStyle w:val="844"/>
        <w:ind w:firstLine="0"/>
        <w:jc w:val="both"/>
        <w:keepLines w:val="0"/>
        <w:keepNext w:val="0"/>
        <w:pageBreakBefore w:val="0"/>
        <w:spacing w:before="120" w:beforeAutospacing="0" w:after="120" w:afterAutospacing="0" w:line="360" w:lineRule="auto"/>
        <w:widowControl w:val="off"/>
        <w:rPr>
          <w:highlight w:val="none"/>
          <w:lang w:val="en-US"/>
        </w:rPr>
      </w:pPr>
      <w:r>
        <w:rPr>
          <w:rFonts w:ascii="Arial" w:hAnsi="Arial" w:cs="Arial"/>
          <w:b/>
          <w:color w:val="000000"/>
          <w:sz w:val="32"/>
          <w:szCs w:val="32"/>
          <w:highlight w:val="none"/>
        </w:rPr>
        <w:t xml:space="preserve">项目编号：</w:t>
      </w:r>
      <w:r>
        <w:rPr>
          <w:rFonts w:hint="eastAsia" w:ascii="Arial" w:hAnsi="Arial" w:cs="Arial"/>
          <w:b/>
          <w:color w:val="000000"/>
          <w:sz w:val="32"/>
          <w:szCs w:val="32"/>
          <w:lang w:eastAsia="zh-CN"/>
        </w:rPr>
        <w:t xml:space="preserve">JSZC-320900-JSJW-G2025-0060</w:t>
      </w:r>
      <w:r/>
    </w:p>
    <w:p>
      <w:pPr>
        <w:pStyle w:val="862"/>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62"/>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62"/>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62"/>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r>
      <w:r/>
    </w:p>
    <w:p>
      <w:pPr>
        <w:pStyle w:val="862"/>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844"/>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08</w:t>
      </w:r>
      <w:r>
        <w:rPr>
          <w:rFonts w:ascii="Arial" w:hAnsi="Arial" w:cs="Arial"/>
          <w:b/>
          <w:color w:val="000000"/>
          <w:sz w:val="32"/>
          <w:szCs w:val="32"/>
          <w:highlight w:val="none"/>
        </w:rPr>
        <w:t xml:space="preserve">月</w:t>
      </w:r>
      <w:r/>
    </w:p>
    <w:p>
      <w:pPr>
        <w:pStyle w:val="844"/>
        <w:jc w:val="center"/>
        <w:spacing w:before="120" w:beforeAutospacing="0" w:after="120" w:afterAutospacing="0" w:line="360" w:lineRule="auto"/>
        <w:rPr>
          <w:highlight w:val="none"/>
        </w:rPr>
      </w:pPr>
      <w:r>
        <w:rPr>
          <w:highlight w:val="none"/>
        </w:rPr>
      </w:r>
      <w:r/>
    </w:p>
    <w:p>
      <w:pPr>
        <w:pStyle w:val="84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479757206"/>
      <w:r/>
      <w:bookmarkStart w:id="2" w:name="_Toc513029200"/>
      <w:r/>
      <w:bookmarkStart w:id="3" w:name="_Toc16938516"/>
      <w:r/>
      <w:bookmarkStart w:id="4" w:name="_Toc120614210"/>
      <w:r/>
      <w:bookmarkStart w:id="5" w:name="_Toc523127445"/>
      <w:r>
        <w:rPr>
          <w:rFonts w:ascii="黑体" w:hAnsi="宋体" w:eastAsia="黑体" w:cs="黑体"/>
          <w:b/>
          <w:color w:val="000000"/>
          <w:sz w:val="44"/>
          <w:szCs w:val="44"/>
          <w:highlight w:val="none"/>
        </w:rPr>
        <w:t xml:space="preserve">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r/>
      <w:bookmarkEnd w:id="1"/>
      <w:r/>
      <w:bookmarkEnd w:id="2"/>
      <w:r/>
      <w:bookmarkEnd w:id="3"/>
      <w:r/>
      <w:bookmarkEnd w:id="4"/>
      <w:r/>
      <w:bookmarkEnd w:id="5"/>
      <w:r/>
      <w:r/>
    </w:p>
    <w:p>
      <w:pPr>
        <w:pStyle w:val="844"/>
        <w:jc w:val="both"/>
        <w:spacing w:beforeAutospacing="0" w:afterAutospacing="0" w:line="480" w:lineRule="auto"/>
        <w:rPr>
          <w:highlight w:val="none"/>
        </w:rPr>
      </w:pPr>
      <w:r>
        <w:rPr>
          <w:highlight w:val="none"/>
        </w:rPr>
      </w:r>
      <w:r/>
    </w:p>
    <w:p>
      <w:pPr>
        <w:pStyle w:val="844"/>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3</w:t>
      </w:r>
      <w:r/>
    </w:p>
    <w:p>
      <w:pPr>
        <w:pStyle w:val="844"/>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rPr>
        <w:t xml:space="preserve">投标人须知………………………………… </w:t>
      </w:r>
      <w:r>
        <w:rPr>
          <w:rFonts w:hint="eastAsia" w:ascii="黑体" w:hAnsi="宋体" w:eastAsia="黑体" w:cs="黑体"/>
          <w:color w:val="000000"/>
          <w:sz w:val="36"/>
          <w:szCs w:val="36"/>
          <w:highlight w:val="none"/>
          <w:lang w:val="en-US" w:eastAsia="zh-CN"/>
        </w:rPr>
        <w:t xml:space="preserve">7</w:t>
      </w:r>
      <w:r/>
    </w:p>
    <w:p>
      <w:pPr>
        <w:pStyle w:val="844"/>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22</w:t>
      </w:r>
      <w:r/>
    </w:p>
    <w:p>
      <w:pPr>
        <w:pStyle w:val="844"/>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36</w:t>
      </w:r>
      <w:r/>
    </w:p>
    <w:p>
      <w:pPr>
        <w:pStyle w:val="844"/>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56</w:t>
      </w:r>
      <w:r/>
    </w:p>
    <w:p>
      <w:pPr>
        <w:pStyle w:val="844"/>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60</w:t>
      </w:r>
      <w:r/>
    </w:p>
    <w:p>
      <w:pPr>
        <w:jc w:val="center"/>
        <w:rPr>
          <w:rFonts w:ascii="黑体" w:hAnsi="宋体" w:eastAsia="黑体" w:cs="黑体"/>
          <w:b/>
          <w:color w:val="000000"/>
          <w:sz w:val="44"/>
          <w:szCs w:val="44"/>
          <w:highlight w:val="none"/>
          <w:lang w:val="en-US" w:eastAsia="zh-CN"/>
        </w:rPr>
      </w:pPr>
      <w:r/>
      <w:bookmarkStart w:id="6" w:name="_Toc28359086"/>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第一章</w:t>
      </w:r>
      <w:r>
        <w:rPr>
          <w:rFonts w:hint="eastAsia" w:ascii="黑体" w:hAnsi="宋体" w:eastAsia="黑体" w:cs="黑体"/>
          <w:b/>
          <w:color w:val="000000"/>
          <w:sz w:val="44"/>
          <w:szCs w:val="44"/>
          <w:highlight w:val="none"/>
          <w:lang w:val="en-US" w:eastAsia="zh-CN"/>
        </w:rPr>
        <w:t xml:space="preserve">   招标公告</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江苏省盐城技师学院电气工程学院工业机器人应用与维护设备设施采购项目</w:t>
      </w:r>
      <w:r>
        <w:rPr>
          <w:rFonts w:hint="eastAsia" w:ascii="宋体" w:hAnsi="宋体" w:cs="宋体"/>
          <w:i w:val="0"/>
          <w:iCs w:val="0"/>
          <w:caps w:val="0"/>
          <w:color w:val="333333"/>
          <w:spacing w:val="0"/>
          <w:sz w:val="24"/>
          <w:szCs w:val="24"/>
          <w:highlight w:val="none"/>
          <w:shd w:val="clear" w:color="auto" w:fill="ffffff"/>
          <w:lang w:eastAsia="zh-CN"/>
        </w:rPr>
        <w:t xml:space="preserve">JSZC-320900-JSJW-G2025-0060</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w:t>
      </w:r>
      <w:r>
        <w:rPr>
          <w:rFonts w:hint="eastAsia" w:ascii="宋体" w:hAnsi="宋体" w:eastAsia="宋体" w:cs="宋体"/>
          <w:i w:val="0"/>
          <w:iCs w:val="0"/>
          <w:caps w:val="0"/>
          <w:color w:val="auto"/>
          <w:spacing w:val="0"/>
          <w:sz w:val="24"/>
          <w:szCs w:val="24"/>
          <w:highlight w:val="none"/>
          <w:shd w:val="clear" w:color="auto" w:fill="ffffff"/>
        </w:rPr>
        <w:t xml:space="preserve">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月23日</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44"/>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7" w:name="_Toc28359079"/>
      <w:r/>
      <w:bookmarkStart w:id="8" w:name="_Toc35393621"/>
      <w:r/>
      <w:bookmarkStart w:id="9" w:name="_Toc38985263"/>
      <w:r/>
      <w:bookmarkStart w:id="10" w:name="_Toc35393790"/>
      <w:r/>
      <w:bookmarkStart w:id="11" w:name="_Toc28359002"/>
      <w:r/>
      <w:bookmarkStart w:id="12" w:name="_Hlk24379207"/>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44"/>
        <w:ind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cs="宋体"/>
          <w:i w:val="0"/>
          <w:iCs w:val="0"/>
          <w:caps w:val="0"/>
          <w:color w:val="333333"/>
          <w:spacing w:val="0"/>
          <w:sz w:val="24"/>
          <w:szCs w:val="24"/>
          <w:highlight w:val="none"/>
          <w:shd w:val="clear" w:color="auto" w:fill="ffffff"/>
          <w:lang w:eastAsia="zh-CN"/>
        </w:rPr>
        <w:t xml:space="preserve">JSZC-320900-JSJW-G2025-0060</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cs="宋体"/>
          <w:color w:val="000000"/>
          <w:sz w:val="24"/>
          <w:szCs w:val="24"/>
          <w:highlight w:val="none"/>
          <w:shd w:val="clear" w:color="auto" w:fill="auto"/>
          <w:lang w:eastAsia="zh-CN"/>
        </w:rPr>
        <w:t xml:space="preserve">江苏省盐城技师学院电气工程学院工业机器人应用与维护设备设施采购项目</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公开招标</w:t>
      </w:r>
      <w:r/>
    </w:p>
    <w:p>
      <w:pPr>
        <w:pStyle w:val="844"/>
        <w:ind w:firstLine="480"/>
        <w:jc w:val="both"/>
        <w:pageBreakBefore w:val="0"/>
        <w:spacing w:beforeAutospacing="0" w:afterAutospacing="0" w:line="480" w:lineRule="exact"/>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198</w:t>
      </w:r>
      <w:r>
        <w:rPr>
          <w:rFonts w:hint="eastAsia" w:ascii="宋体" w:hAnsi="宋体" w:eastAsia="宋体" w:cs="宋体"/>
          <w:color w:val="000000"/>
          <w:sz w:val="24"/>
          <w:szCs w:val="24"/>
          <w:highlight w:val="none"/>
          <w:lang w:val="en-US" w:eastAsia="zh-CN"/>
        </w:rPr>
        <w:t xml:space="preserve">.00万元</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cs="宋体"/>
          <w:color w:val="000000"/>
          <w:sz w:val="24"/>
          <w:szCs w:val="24"/>
          <w:highlight w:val="none"/>
          <w:lang w:val="en-US" w:eastAsia="zh-CN"/>
        </w:rPr>
        <w:t xml:space="preserve">198.00</w:t>
      </w:r>
      <w:r>
        <w:rPr>
          <w:rFonts w:hint="eastAsia" w:ascii="宋体" w:hAnsi="宋体" w:eastAsia="宋体" w:cs="宋体"/>
          <w:color w:val="000000"/>
          <w:sz w:val="24"/>
          <w:szCs w:val="24"/>
          <w:highlight w:val="none"/>
          <w:lang w:val="en-US" w:eastAsia="zh-CN"/>
        </w:rPr>
        <w:t xml:space="preserve">万元</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cs="宋体"/>
          <w:color w:val="000000"/>
          <w:sz w:val="24"/>
          <w:szCs w:val="24"/>
          <w:highlight w:val="none"/>
          <w:shd w:val="clear" w:color="auto" w:fill="auto"/>
          <w:lang w:eastAsia="zh-CN"/>
        </w:rPr>
        <w:t xml:space="preserve">江苏省盐城技师学院电气工程学院工业机器人应用与维护设备设施采购项目</w:t>
      </w:r>
      <w:r>
        <w:rPr>
          <w:rFonts w:hint="eastAsia" w:ascii="宋体" w:hAnsi="宋体" w:eastAsia="宋体" w:cs="宋体"/>
          <w:color w:val="000000"/>
          <w:sz w:val="24"/>
          <w:szCs w:val="24"/>
          <w:highlight w:val="none"/>
          <w:lang w:val="en-US" w:eastAsia="zh-CN"/>
        </w:rPr>
        <w:t xml:space="preserve">，主要包括机器人系统集成平台、工业机器人供料罐装工作站、复合机器人采购、安装及相关伴随服务，详细内容</w:t>
      </w:r>
      <w:r>
        <w:rPr>
          <w:rFonts w:hint="eastAsia" w:ascii="宋体" w:hAnsi="宋体" w:eastAsia="宋体" w:cs="宋体"/>
          <w:color w:val="000000"/>
          <w:sz w:val="24"/>
          <w:szCs w:val="24"/>
          <w:highlight w:val="none"/>
        </w:rPr>
        <w:t xml:space="preserve">见本招标文件第四章。</w:t>
      </w:r>
      <w:r/>
    </w:p>
    <w:p>
      <w:pPr>
        <w:pStyle w:val="844"/>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合同签订之日起30日历天内完成测试安装及相关伴随服务</w:t>
      </w:r>
      <w:r>
        <w:rPr>
          <w:rFonts w:hint="eastAsia" w:ascii="宋体" w:hAnsi="宋体" w:eastAsia="宋体" w:cs="宋体"/>
          <w:color w:val="000000"/>
          <w:sz w:val="24"/>
          <w:szCs w:val="24"/>
          <w:highlight w:val="none"/>
        </w:rPr>
        <w:t xml:space="preserve">，并通过采购人验收</w:t>
      </w:r>
      <w:r>
        <w:rPr>
          <w:rFonts w:hint="eastAsia" w:ascii="宋体" w:hAnsi="宋体" w:cs="宋体"/>
          <w:color w:val="000000"/>
          <w:sz w:val="24"/>
          <w:szCs w:val="24"/>
          <w:highlight w:val="none"/>
          <w:lang w:val="en-US" w:eastAsia="zh-CN"/>
        </w:rPr>
        <w:t xml:space="preserve">。</w:t>
      </w:r>
      <w:r/>
    </w:p>
    <w:p>
      <w:pPr>
        <w:pStyle w:val="844"/>
        <w:ind w:firstLine="480"/>
        <w:jc w:val="both"/>
        <w:pageBreakBefore w:val="0"/>
        <w:spacing w:beforeAutospacing="0" w:afterAutospacing="0" w:line="480" w:lineRule="exact"/>
        <w:rPr>
          <w:rFonts w:ascii="宋体" w:hAnsi="宋体" w:eastAsia="宋体" w:cs="宋体"/>
          <w:color w:val="000000"/>
          <w:sz w:val="24"/>
          <w:szCs w:val="24"/>
          <w:highlight w:val="none"/>
          <w:shd w:val="clear" w:color="auto" w:fill="ffff00"/>
          <w:lang w:val="en-US"/>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8.本项目（是/否）接受联合体投标：否</w:t>
      </w:r>
      <w:r/>
    </w:p>
    <w:p>
      <w:pPr>
        <w:pStyle w:val="844"/>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 w:name="_Toc35393791"/>
      <w:r/>
      <w:bookmarkStart w:id="14" w:name="_Toc35393622"/>
      <w:r/>
      <w:bookmarkStart w:id="15" w:name="_Toc28359080"/>
      <w:r/>
      <w:bookmarkStart w:id="16" w:name="_Toc38985264"/>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b/>
          <w:bCs/>
          <w:color w:val="auto"/>
          <w:sz w:val="24"/>
          <w:szCs w:val="24"/>
          <w:lang w:val="en-US" w:eastAsia="zh-CN" w:bidi="ar"/>
        </w:rPr>
        <w:t xml:space="preserve">本项目专门面向中小企业采购，标的所属行业为</w:t>
      </w:r>
      <w:r>
        <w:rPr>
          <w:rFonts w:hint="eastAsia" w:ascii="宋体" w:hAnsi="宋体" w:eastAsia="宋体" w:cs="宋体"/>
          <w:b/>
          <w:bCs/>
          <w:color w:val="auto"/>
          <w:sz w:val="24"/>
          <w:szCs w:val="24"/>
          <w:u w:val="single"/>
          <w:lang w:val="en-US" w:eastAsia="zh-CN" w:bidi="ar"/>
        </w:rPr>
        <w:t xml:space="preserve">工业</w:t>
      </w:r>
      <w:r>
        <w:rPr>
          <w:rFonts w:hint="eastAsia" w:ascii="宋体" w:hAnsi="宋体" w:eastAsia="宋体" w:cs="宋体"/>
          <w:b w:val="0"/>
          <w:bCs w:val="0"/>
          <w:color w:val="auto"/>
          <w:sz w:val="24"/>
          <w:szCs w:val="24"/>
          <w:lang w:val="en-US" w:eastAsia="zh-CN" w:bidi="ar"/>
        </w:rPr>
        <w:t xml:space="preserve">（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844"/>
        <w:ind w:firstLine="482"/>
        <w:jc w:val="both"/>
        <w:pageBreakBefore w:val="0"/>
        <w:spacing w:beforeAutospacing="0" w:afterAutospacing="0" w:line="480" w:lineRule="exact"/>
        <w:rPr>
          <w:rFonts w:hint="default"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本项目的特定资格要求</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lang w:val="en-US" w:eastAsia="zh-CN"/>
        </w:rPr>
        <w:t xml:space="preserve">无。</w:t>
      </w:r>
      <w:r/>
    </w:p>
    <w:p>
      <w:pPr>
        <w:pStyle w:val="844"/>
        <w:ind w:firstLine="482"/>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18" w:name="_Toc38985266"/>
      <w:r/>
      <w:bookmarkStart w:id="19" w:name="_Toc35393793"/>
      <w:r/>
      <w:bookmarkStart w:id="20" w:name="_Toc28359082"/>
      <w:r/>
      <w:bookmarkStart w:id="21" w:name="_Toc28359005"/>
      <w:r/>
      <w:bookmarkStart w:id="22" w:name="_Toc35393624"/>
      <w:r>
        <w:rPr>
          <w:rFonts w:hint="eastAsia" w:ascii="宋体" w:hAnsi="宋体" w:eastAsia="宋体" w:cs="宋体"/>
          <w:color w:val="000000"/>
          <w:sz w:val="24"/>
          <w:szCs w:val="24"/>
          <w:highlight w:val="none"/>
          <w:shd w:val="clear" w:color="auto" w:fill="auto"/>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3.方式：本项目采用网上注册登记方式，具体详见本公告其他补充事宜。</w:t>
      </w:r>
      <w:r/>
    </w:p>
    <w:p>
      <w:pPr>
        <w:ind w:firstLine="480"/>
        <w:jc w:val="left"/>
        <w:pageBreakBefore w:val="0"/>
        <w:spacing w:line="48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44"/>
        <w:ind w:firstLine="482"/>
        <w:jc w:val="both"/>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w:t>
      </w:r>
      <w:r>
        <w:rPr>
          <w:rFonts w:hint="eastAsia" w:ascii="宋体" w:hAnsi="宋体" w:eastAsia="宋体" w:cs="宋体"/>
          <w:color w:val="auto"/>
          <w:sz w:val="24"/>
          <w:szCs w:val="24"/>
          <w:highlight w:val="none"/>
          <w:shd w:val="clear" w:color="auto" w:fill="auto"/>
        </w:rPr>
        <w:t xml:space="preserve">间</w:t>
      </w:r>
      <w:r>
        <w:rPr>
          <w:rFonts w:hint="eastAsia" w:ascii="宋体" w:hAnsi="宋体" w:eastAsia="宋体" w:cs="宋体"/>
          <w:color w:val="auto"/>
          <w:sz w:val="24"/>
          <w:szCs w:val="24"/>
          <w:highlight w:val="none"/>
          <w:u w:val="none"/>
          <w:lang w:val="en-US" w:eastAsia="zh-CN"/>
        </w:rPr>
        <w:t xml:space="preserve">：2025年10月23日09点00分</w:t>
      </w:r>
      <w:r>
        <w:rPr>
          <w:rFonts w:hint="eastAsia" w:ascii="宋体" w:hAnsi="宋体" w:eastAsia="宋体" w:cs="宋体"/>
          <w:color w:val="000000"/>
          <w:sz w:val="24"/>
          <w:szCs w:val="24"/>
          <w:highlight w:val="none"/>
          <w:shd w:val="clear" w:color="auto" w:fill="auto"/>
        </w:rPr>
        <w:t xml:space="preserve">（北京时间）</w:t>
      </w:r>
      <w:r/>
    </w:p>
    <w:p>
      <w:pPr>
        <w:pStyle w:val="844"/>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844"/>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23" w:name="_Toc28359007"/>
      <w:r/>
      <w:bookmarkStart w:id="24" w:name="_Toc28359084"/>
      <w:r/>
      <w:bookmarkStart w:id="25" w:name="_Toc35393794"/>
      <w:r/>
      <w:bookmarkStart w:id="26" w:name="_Toc35393625"/>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8" w:name="_Toc35393626"/>
      <w:r/>
      <w:bookmarkStart w:id="29" w:name="_Toc35393795"/>
      <w:r/>
      <w:bookmarkStart w:id="30"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844"/>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3.有关本次招标的事项若存在变动或修改，敬请及时关注江苏建威建设管理有限公司在“中国政府采购网”、“江苏政府采购网”、“盐城市政府采购网”发布的更正公告。</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44"/>
        <w:ind w:firstLine="482"/>
        <w:jc w:val="both"/>
        <w:keepLines/>
        <w:keepNext/>
        <w:pageBreakBefore w:val="0"/>
        <w:spacing w:beforeAutospacing="0"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31"/>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称：江苏省盐城技师学院</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地址：盐城市盐都区海洋路29号</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联系人：王老师</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联系方式：13056150848</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称：江苏建威建设管理有限公司</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址：盐城市盐都区兆泉商务中心六楼</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联系人：朱女士</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10"/>
      <w:r/>
      <w:bookmarkStart w:id="33" w:name="_Toc28359087"/>
      <w:r>
        <w:rPr>
          <w:rFonts w:hint="eastAsia" w:ascii="宋体" w:hAnsi="宋体" w:eastAsia="宋体" w:cs="宋体"/>
          <w:color w:val="000000"/>
          <w:sz w:val="24"/>
          <w:szCs w:val="24"/>
          <w:highlight w:val="none"/>
          <w:shd w:val="clear" w:color="auto" w:fill="auto"/>
          <w:lang w:val="en-US" w:eastAsia="zh-CN"/>
        </w:rPr>
        <w:t xml:space="preserve">18066198320</w:t>
      </w:r>
      <w:bookmarkEnd w:id="32"/>
      <w:r/>
      <w:bookmarkEnd w:id="33"/>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项目联系人：朱女士</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话：18066198320</w:t>
      </w:r>
      <w:r/>
    </w:p>
    <w:p>
      <w:pPr>
        <w:pStyle w:val="844"/>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br w:type="page" w:clear="all"/>
      </w:r>
      <w:bookmarkStart w:id="35" w:name="_Toc120614211"/>
      <w:r/>
      <w:r/>
    </w:p>
    <w:p>
      <w:pPr>
        <w:pStyle w:val="844"/>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 </w:t>
      </w:r>
      <w:bookmarkEnd w:id="35"/>
      <w:r/>
      <w:bookmarkStart w:id="36" w:name="_Toc20823274"/>
      <w:r/>
      <w:bookmarkStart w:id="37" w:name="_Toc120614213"/>
      <w:r/>
      <w:bookmarkStart w:id="38" w:name="_Toc16938518"/>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2" w:name="_Toc20823278"/>
      <w:r/>
      <w:bookmarkStart w:id="53" w:name="_Toc513029206"/>
      <w:r/>
      <w:bookmarkStart w:id="54" w:name="_Toc16938522"/>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5" w:name="_Toc513029207"/>
      <w:r/>
      <w:bookmarkStart w:id="56" w:name="_Toc16938523"/>
      <w:r/>
      <w:bookmarkStart w:id="57" w:name="_Toc462564067"/>
      <w:r/>
      <w:bookmarkStart w:id="58" w:name="_Toc20823279"/>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rPr>
        <w:t xml:space="preserve">（以下简称采购代理机构）在任何情况下均无义务和责任承担这些费用。</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4.2本次招标采购代理机构和采购人不收取标书工本费与中标服务费。</w:t>
      </w:r>
      <w:r/>
    </w:p>
    <w:p>
      <w:pPr>
        <w:pStyle w:val="844"/>
        <w:ind w:left="0" w:firstLine="482"/>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rPr>
        <w:t xml:space="preserve">4.3采购代理服务费：</w:t>
      </w:r>
      <w:r>
        <w:rPr>
          <w:rFonts w:hint="eastAsia" w:ascii="宋体" w:hAnsi="宋体" w:eastAsia="宋体" w:cs="宋体"/>
          <w:color w:val="0000ff"/>
          <w:sz w:val="24"/>
          <w:szCs w:val="24"/>
          <w:highlight w:val="none"/>
        </w:rPr>
        <w:t xml:space="preserve">根据代理合同约定的收费标准的31%收取代理服务费，即100万元以内按1.5%的31%计取，100万元—500万元以内按1.1%的31%计取，采购代理服务收费按差额定率累进法计算，招标完成后由采购人向代理机构支付。</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9" w:name="_Toc16938525"/>
      <w:r/>
      <w:bookmarkStart w:id="60" w:name="_Toc120614215"/>
      <w:r/>
      <w:bookmarkStart w:id="61" w:name="_Toc513029209"/>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6" w:name="_Toc20823283"/>
      <w:r/>
      <w:bookmarkStart w:id="67" w:name="_Toc16938527"/>
      <w:r/>
      <w:bookmarkStart w:id="68" w:name="_Toc513029211"/>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0" w:name="_Toc16938528"/>
      <w:r/>
      <w:bookmarkStart w:id="71" w:name="_Toc462564071"/>
      <w:r/>
      <w:bookmarkStart w:id="72" w:name="_Toc20823284"/>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可以对招标文件进行修改。</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4" w:name="_Toc16938529"/>
      <w:r/>
      <w:bookmarkStart w:id="75" w:name="_Toc513029213"/>
      <w:r/>
      <w:bookmarkStart w:id="76" w:name="_Toc20823285"/>
      <w:r/>
      <w:bookmarkStart w:id="77" w:name="_Toc120614216"/>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9" w:name="_Toc20823286"/>
      <w:r/>
      <w:bookmarkStart w:id="80" w:name="_Toc513029214"/>
      <w:r/>
      <w:bookmarkStart w:id="81" w:name="_Toc462564073"/>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w:t>
      </w:r>
      <w:r>
        <w:rPr>
          <w:rFonts w:hint="eastAsia" w:ascii="宋体" w:hAnsi="宋体" w:eastAsia="宋体" w:cs="宋体"/>
          <w:color w:val="000000"/>
          <w:sz w:val="24"/>
          <w:szCs w:val="24"/>
          <w:highlight w:val="none"/>
          <w:lang w:val="en-US" w:eastAsia="zh-CN"/>
        </w:rPr>
        <w:t xml:space="preserve">人活采购代理机构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3" w:name="_Toc462564074"/>
      <w:r/>
      <w:bookmarkStart w:id="84" w:name="_Toc513029215"/>
      <w:r/>
      <w:bookmarkStart w:id="85" w:name="_Toc16938531"/>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7" w:name="_Toc513029219"/>
      <w:r/>
      <w:bookmarkStart w:id="88" w:name="_Toc14577354"/>
      <w:r/>
      <w:bookmarkStart w:id="89" w:name="_Toc513029216"/>
      <w:r/>
      <w:bookmarkStart w:id="90" w:name="_Toc14577357"/>
      <w:r/>
      <w:bookmarkStart w:id="91" w:name="_Toc49090508"/>
      <w:r/>
      <w:bookmarkStart w:id="92" w:name="_Toc14577355"/>
      <w:r/>
      <w:bookmarkStart w:id="93" w:name="_Toc49090509"/>
      <w:r/>
      <w:bookmarkStart w:id="94" w:name="_Toc49090507"/>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8" w:name="_Hlt26670482"/>
      <w:r/>
      <w:bookmarkStart w:id="99" w:name="_Hlt26954848"/>
      <w:r/>
      <w:bookmarkStart w:id="100" w:name="_Hlt26954731"/>
      <w:r/>
      <w:bookmarkStart w:id="101" w:name="_Hlt26954846"/>
      <w:r/>
      <w:bookmarkStart w:id="102" w:name="_Hlt26670486"/>
      <w:r>
        <w:rPr>
          <w:rFonts w:hint="eastAsia" w:ascii="宋体" w:hAnsi="宋体" w:eastAsia="宋体" w:cs="宋体"/>
          <w:color w:val="000000"/>
          <w:sz w:val="24"/>
          <w:szCs w:val="24"/>
          <w:highlight w:val="none"/>
        </w:rPr>
        <w:t xml:space="preserve">13、技术要求响应及偏离表、商务要求响应及偏离表</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7" w:name="_Toc513029224"/>
      <w:r/>
      <w:bookmarkStart w:id="108" w:name="_Toc16938540"/>
      <w:r/>
      <w:bookmarkStart w:id="109" w:name="_Toc120614217"/>
      <w:r/>
      <w:bookmarkStart w:id="110" w:name="_Toc20823296"/>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3" w:name="_Toc462564084"/>
      <w:r/>
      <w:bookmarkStart w:id="114" w:name="_Toc16938541"/>
      <w:r/>
      <w:bookmarkStart w:id="115" w:name="_Toc513029225"/>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0" w:name="_Toc20823299"/>
      <w:r/>
      <w:bookmarkStart w:id="121" w:name="_Toc513029227"/>
      <w:r/>
      <w:bookmarkStart w:id="122" w:name="_Toc16938543"/>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3" w:name="_Toc16938544"/>
      <w:r/>
      <w:bookmarkStart w:id="124" w:name="_Toc20823300"/>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6" w:name="_Toc120614218"/>
      <w:r/>
      <w:bookmarkStart w:id="127" w:name="_Toc513029229"/>
      <w:r/>
      <w:bookmarkStart w:id="128" w:name="_Toc20823301"/>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0" w:name="_Toc20823302"/>
      <w:r/>
      <w:bookmarkStart w:id="131" w:name="_Toc513029230"/>
      <w:r/>
      <w:bookmarkStart w:id="132" w:name="_Toc16938546"/>
      <w:r>
        <w:rPr>
          <w:rFonts w:hint="eastAsia" w:ascii="宋体" w:hAnsi="宋体" w:eastAsia="宋体" w:cs="宋体"/>
          <w:color w:val="000000"/>
          <w:sz w:val="24"/>
          <w:szCs w:val="24"/>
          <w:highlight w:val="none"/>
        </w:rPr>
        <w:t xml:space="preserve">22、开标</w:t>
      </w:r>
      <w:bookmarkEnd w:id="130"/>
      <w:r/>
      <w:bookmarkEnd w:id="131"/>
      <w:r/>
      <w:bookmarkEnd w:id="132"/>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3" w:name="_Toc20823303"/>
      <w:r/>
      <w:bookmarkStart w:id="134" w:name="_Toc16938547"/>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23.3评委会独立工作，负责评审所有投标文件并确定中标侯选人。</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24.1凡是与审查、澄清、评价和比较投标的有关资料以及授标建议等，采购人、评委、采购代理机构均不得向投标人或与评标无关的其他人员透露。</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6" w:name="_Toc16938548"/>
      <w:r/>
      <w:bookmarkStart w:id="137" w:name="_Toc513029232"/>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39" w:name="_Toc20823305"/>
      <w:r/>
      <w:bookmarkStart w:id="140" w:name="_Toc513029233"/>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接到评委会澄清、说明和补正要求的投标人如未按规定做出澄清、说明和补正，其风险由投标人自行承担。</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将在苏采云系统中告知未通过资格审查或符合性审查的原因，评审结束后，采购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将不再告知未通过资格审查或符合性审查的原因。</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42" w:name="_Toc20823306"/>
      <w:r/>
      <w:bookmarkStart w:id="143" w:name="_Toc16938550"/>
      <w:r/>
      <w:bookmarkStart w:id="144"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26.7投标人在开、评标全过程中应保持通讯畅通，及时登录苏采云系统查阅、答复相关信息，并安排专人与采购代理机构及评标委员会联系。</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45" w:name="_Toc20823307"/>
      <w:r/>
      <w:bookmarkStart w:id="146" w:name="_Toc513029235"/>
      <w:r/>
      <w:bookmarkStart w:id="147" w:name="_Toc16938551"/>
      <w:r>
        <w:rPr>
          <w:rFonts w:hint="eastAsia" w:ascii="宋体" w:hAnsi="宋体" w:eastAsia="宋体" w:cs="宋体"/>
          <w:color w:val="000000"/>
          <w:sz w:val="24"/>
          <w:szCs w:val="24"/>
          <w:highlight w:val="none"/>
        </w:rPr>
        <w:t xml:space="preserve">27.1无效投标条款</w:t>
      </w:r>
      <w:bookmarkEnd w:id="145"/>
      <w:r/>
      <w:bookmarkEnd w:id="146"/>
      <w:r/>
      <w:bookmarkEnd w:id="147"/>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.1.10投标人不能证明其报价合理性的，评</w:t>
      </w:r>
      <w:r>
        <w:rPr>
          <w:rFonts w:hint="eastAsia" w:ascii="宋体" w:hAnsi="宋体" w:eastAsia="宋体" w:cs="宋体"/>
          <w:color w:val="0000ff"/>
          <w:sz w:val="24"/>
          <w:szCs w:val="24"/>
          <w:highlight w:val="none"/>
          <w:lang w:val="en-US" w:eastAsia="zh-CN"/>
        </w:rPr>
        <w:t xml:space="preserve">标</w:t>
      </w:r>
      <w:r>
        <w:rPr>
          <w:rFonts w:hint="eastAsia" w:ascii="宋体" w:hAnsi="宋体" w:eastAsia="宋体" w:cs="宋体"/>
          <w:color w:val="0000ff"/>
          <w:sz w:val="24"/>
          <w:szCs w:val="24"/>
          <w:highlight w:val="none"/>
        </w:rPr>
        <w:t xml:space="preserve">委员会应当将其作为无效投标处理。</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（一）评审过程中出现下列情形之一的，评标委员会应当启动异常低价投标审查程序：</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1.投标报价低于采购项目预算50%的，即投标报价&lt;采购项目预算×50%；</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2.投标报价低于采购项目最高限价45%的，即投标报价&lt;采购项目最高限价×45%；</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3.评标委员会认定的供应商报价过低、有可能影响产品质量或者不能诚信履约的其他情形。</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采购人及采购代理机构只接收以纸质原件形式送达的质疑,采购人和采购代理机构不接受未填写快递运单的快件。</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4"/>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3" w:name="_Toc120614220"/>
      <w:r/>
      <w:bookmarkStart w:id="154" w:name="_Toc513029236"/>
      <w:r/>
      <w:bookmarkStart w:id="155" w:name="_Toc20823308"/>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7" w:name="_Toc20823309"/>
      <w:r/>
      <w:bookmarkStart w:id="158" w:name="_Toc513029237"/>
      <w:r/>
      <w:bookmarkStart w:id="159" w:name="_Toc16938553"/>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44"/>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4"/>
        <w:numPr>
          <w:ilvl w:val="0"/>
          <w:numId w:val="0"/>
        </w:numPr>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p>
    <w:p>
      <w:pPr>
        <w:pStyle w:val="844"/>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p>
    <w:p>
      <w:pPr>
        <w:ind w:left="0" w:firstLine="48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p>
    <w:p>
      <w:pPr>
        <w:pStyle w:val="844"/>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p>
    <w:p>
      <w:pPr>
        <w:ind w:left="0" w:right="0" w:firstLine="480"/>
        <w:jc w:val="both"/>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p>
    <w:p>
      <w:pPr>
        <w:pStyle w:val="851"/>
        <w:ind w:left="0" w:firstLine="48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ff"/>
          <w:sz w:val="24"/>
          <w:szCs w:val="24"/>
          <w:highlight w:val="none"/>
          <w:lang w:val="en-US" w:eastAsia="zh-CN" w:bidi="ar-SA"/>
        </w:rPr>
        <w:t xml:space="preserve">降低履约保证金缴纳比例至合同金额的5%</w:t>
      </w:r>
      <w:r>
        <w:rPr>
          <w:rFonts w:hint="eastAsia" w:ascii="宋体" w:hAnsi="宋体" w:eastAsia="宋体" w:cs="宋体"/>
          <w:color w:val="000000"/>
          <w:sz w:val="24"/>
          <w:szCs w:val="24"/>
          <w:highlight w:val="none"/>
          <w:lang w:val="en-US" w:eastAsia="zh-CN" w:bidi="ar-SA"/>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ff"/>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51"/>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黑体" w:hAnsi="宋体" w:eastAsia="黑体" w:cs="黑体"/>
          <w:b/>
          <w:color w:val="000000"/>
          <w:sz w:val="44"/>
          <w:szCs w:val="44"/>
          <w:highlight w:val="none"/>
        </w:rPr>
      </w:pPr>
      <w:r/>
      <w:bookmarkStart w:id="160" w:name="_Toc479757211"/>
      <w:r/>
      <w:bookmarkStart w:id="161" w:name="_Toc462564139"/>
      <w:r/>
      <w:bookmarkStart w:id="162" w:name="_Hlt16619350"/>
      <w:r/>
      <w:bookmarkStart w:id="163" w:name="_Toc16938590"/>
      <w:r/>
      <w:bookmarkStart w:id="164" w:name="_Toc120614244"/>
      <w:r/>
      <w:bookmarkStart w:id="165" w:name="_Toc20823346"/>
      <w:r/>
      <w:bookmarkStart w:id="166" w:name="_Hlt16619369"/>
      <w:r>
        <w:rPr>
          <w:rFonts w:hint="eastAsia" w:ascii="黑体" w:hAnsi="宋体" w:eastAsia="黑体" w:cs="黑体"/>
          <w:b/>
          <w:color w:val="000000"/>
          <w:sz w:val="44"/>
          <w:szCs w:val="44"/>
          <w:highlight w:val="none"/>
        </w:rPr>
        <w:br w:type="page" w:clear="all"/>
      </w:r>
      <w:r/>
    </w:p>
    <w:p>
      <w:pPr>
        <w:pStyle w:val="844"/>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w:t>
      </w:r>
      <w:r>
        <w:rPr>
          <w:rFonts w:hint="eastAsia" w:ascii="黑体" w:hAnsi="宋体" w:eastAsia="黑体" w:cs="黑体"/>
          <w:b/>
          <w:color w:val="000000"/>
          <w:sz w:val="44"/>
          <w:szCs w:val="44"/>
          <w:highlight w:val="none"/>
          <w:lang w:eastAsia="zh-CN"/>
        </w:rPr>
        <w:t xml:space="preserve">章</w:t>
      </w:r>
      <w:r>
        <w:rPr>
          <w:rFonts w:hint="eastAsia" w:ascii="黑体" w:hAnsi="宋体" w:eastAsia="黑体" w:cs="黑体"/>
          <w:b/>
          <w:color w:val="000000"/>
          <w:sz w:val="44"/>
          <w:szCs w:val="44"/>
          <w:highlight w:val="none"/>
        </w:rPr>
        <w:t xml:space="preserve">  </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江苏省盐城技师学院电气工程学院工业机器人应用与维护设备设施采购项目</w:t>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eastAsia="zh-CN"/>
        </w:rPr>
        <w:t xml:space="preserve">JSZC-320900-JSJW-G2025-0060</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方：江苏省盐城技师学院</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left="0" w:firstLine="0"/>
        <w:jc w:val="center"/>
        <w:keepLines w:val="0"/>
        <w:keepNext w:val="0"/>
        <w:pageBreakBefore w:val="0"/>
        <w:spacing w:line="560" w:lineRule="exact"/>
        <w:widowControl w:val="off"/>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政府采购合同</w:t>
      </w:r>
      <w:r/>
    </w:p>
    <w:p>
      <w:pPr>
        <w:pStyle w:val="863"/>
        <w:jc w:val="both"/>
        <w:spacing w:before="120" w:beforeAutospacing="0" w:after="120" w:afterAutospacing="0"/>
        <w:rPr>
          <w:rFonts w:hint="eastAsia" w:ascii="宋体" w:hAnsi="宋体" w:eastAsia="宋体" w:cs="宋体"/>
          <w:color w:val="000000"/>
          <w:lang w:eastAsia="zh-CN"/>
        </w:rPr>
      </w:pPr>
      <w:r>
        <w:rPr>
          <w:rFonts w:hint="eastAsia" w:ascii="宋体" w:hAnsi="宋体" w:cs="宋体"/>
          <w:color w:val="000000"/>
        </w:rPr>
        <w:t xml:space="preserve">项目名称：</w:t>
      </w:r>
      <w:r>
        <w:rPr>
          <w:rFonts w:hint="eastAsia" w:ascii="宋体" w:hAnsi="宋体" w:cs="宋体"/>
          <w:color w:val="000000"/>
          <w:u w:val="single"/>
          <w:lang w:eastAsia="zh-CN"/>
        </w:rPr>
        <w:t xml:space="preserve">江苏省盐城技师学院电气工程学院工业机器人应用与维护设备设施采购项目</w:t>
      </w:r>
      <w:r/>
    </w:p>
    <w:p>
      <w:pPr>
        <w:pStyle w:val="863"/>
        <w:jc w:val="both"/>
        <w:spacing w:before="120" w:beforeAutospacing="0" w:after="120" w:afterAutospacing="0"/>
        <w:rPr>
          <w:rFonts w:hint="eastAsia" w:eastAsia="宋体"/>
          <w:lang w:eastAsia="zh-CN"/>
        </w:rPr>
      </w:pPr>
      <w:r>
        <w:rPr>
          <w:rFonts w:hint="eastAsia" w:ascii="宋体" w:hAnsi="宋体" w:cs="宋体"/>
          <w:color w:val="000000"/>
        </w:rPr>
        <w:t xml:space="preserve">项目编号：</w:t>
      </w:r>
      <w:r>
        <w:rPr>
          <w:rFonts w:hint="eastAsia" w:ascii="宋体" w:hAnsi="宋体" w:cs="宋体"/>
          <w:color w:val="000000"/>
          <w:lang w:eastAsia="zh-CN"/>
        </w:rPr>
        <w:t xml:space="preserve">JSZC-320900-JSJW-G2025-0060</w:t>
      </w:r>
      <w:r/>
    </w:p>
    <w:p>
      <w:pPr>
        <w:pStyle w:val="863"/>
        <w:jc w:val="both"/>
        <w:spacing w:before="120" w:beforeAutospacing="0" w:after="120" w:afterAutospacing="0"/>
      </w:pPr>
      <w:r>
        <w:rPr>
          <w:rFonts w:hint="eastAsia" w:ascii="宋体" w:hAnsi="宋体" w:cs="宋体"/>
          <w:color w:val="000000"/>
        </w:rPr>
        <w:t xml:space="preserve">甲方：（买方）_________</w:t>
      </w:r>
      <w:r/>
    </w:p>
    <w:p>
      <w:pPr>
        <w:pStyle w:val="863"/>
        <w:jc w:val="both"/>
        <w:spacing w:before="120" w:beforeAutospacing="0" w:after="120" w:afterAutospacing="0"/>
      </w:pPr>
      <w:r>
        <w:rPr>
          <w:rFonts w:hint="eastAsia" w:ascii="宋体" w:hAnsi="宋体" w:cs="宋体"/>
          <w:color w:val="000000"/>
        </w:rPr>
        <w:t xml:space="preserve">乙方：（卖方）_________</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根据《中华人民共和国民法典》《中华人民共和国政府采购法》等相关法律法规的规定，甲乙双方就此次成交的【</w:t>
      </w:r>
      <w:r>
        <w:rPr>
          <w:rFonts w:hint="eastAsia" w:ascii="宋体" w:hAnsi="宋体" w:cs="宋体"/>
          <w:sz w:val="24"/>
          <w:szCs w:val="24"/>
          <w:u w:val="single"/>
          <w:lang w:eastAsia="zh-CN"/>
        </w:rPr>
        <w:t xml:space="preserve">江苏省盐城技师学院电气工程学院工业机器人应用与维护设备设施采购项目</w:t>
      </w:r>
      <w:r>
        <w:rPr>
          <w:rFonts w:hint="eastAsia" w:ascii="宋体" w:hAnsi="宋体" w:eastAsia="宋体" w:cs="宋体"/>
          <w:sz w:val="24"/>
          <w:szCs w:val="24"/>
        </w:rPr>
        <w:t xml:space="preserve">】（以下简称“本项目”）的购销事宜，协商一致，签订本合同书，以兹共同遵守。</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1.乙方负责完成甲方的【</w:t>
      </w:r>
      <w:r>
        <w:rPr>
          <w:rFonts w:hint="eastAsia" w:ascii="宋体" w:hAnsi="宋体" w:cs="宋体"/>
          <w:sz w:val="24"/>
          <w:szCs w:val="24"/>
          <w:u w:val="single"/>
          <w:lang w:eastAsia="zh-CN"/>
        </w:rPr>
        <w:t xml:space="preserve">江苏省盐城技师学院电气工程学院工业机器人应用与维护设备设施采购项目</w:t>
      </w:r>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供货期</w:t>
      </w:r>
      <w:r>
        <w:rPr>
          <w:rFonts w:hint="eastAsia" w:ascii="宋体" w:hAnsi="宋体" w:eastAsia="宋体" w:cs="宋体"/>
          <w:sz w:val="24"/>
          <w:szCs w:val="24"/>
        </w:rPr>
        <w:t xml:space="preserve">：</w:t>
      </w:r>
      <w:r>
        <w:rPr>
          <w:rFonts w:hint="eastAsia" w:ascii="宋体" w:hAnsi="宋体" w:eastAsia="宋体" w:cs="宋体"/>
          <w:color w:val="000000"/>
          <w:sz w:val="24"/>
          <w:szCs w:val="24"/>
          <w:highlight w:val="none"/>
          <w:u w:val="single"/>
          <w:lang w:eastAsia="zh-CN"/>
        </w:rPr>
        <w:t xml:space="preserve">合同签订之日起30日历天内完成测试安装及相关伴随服务</w:t>
      </w:r>
      <w:r>
        <w:rPr>
          <w:rFonts w:hint="eastAsia" w:ascii="宋体" w:hAnsi="宋体" w:eastAsia="宋体" w:cs="宋体"/>
          <w:color w:val="000000"/>
          <w:sz w:val="24"/>
          <w:szCs w:val="24"/>
          <w:highlight w:val="none"/>
          <w:u w:val="single"/>
        </w:rPr>
        <w:t xml:space="preserve">，并</w:t>
      </w:r>
      <w:r>
        <w:rPr>
          <w:rFonts w:hint="eastAsia" w:ascii="宋体" w:hAnsi="宋体" w:eastAsia="宋体" w:cs="宋体"/>
          <w:color w:val="000000" w:themeColor="text1"/>
          <w:sz w:val="24"/>
          <w:szCs w:val="24"/>
          <w:highlight w:val="none"/>
          <w:u w:val="single"/>
          <w14:textFill>
            <w14:solidFill>
              <w14:schemeClr w14:val="tx1"/>
            </w14:solidFill>
          </w14:textFill>
        </w:rPr>
        <w:t xml:space="preserve">通过采购人验收</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p>
    <w:p>
      <w:pPr>
        <w:ind w:left="0" w:firstLine="420"/>
        <w:spacing w:line="5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lang w:val="en-US" w:eastAsia="zh-CN"/>
          <w14:textFill>
            <w14:solidFill>
              <w14:schemeClr w14:val="tx1"/>
            </w14:solidFill>
          </w14:textFill>
        </w:rPr>
        <w:t xml:space="preserve">注：</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本项目提供的货物和软件须为当前最新版本，所供货物免费质保期为三年，软件提供终身质保和三年免费升级维护服务，质量保证期从最终验收合格之日起计算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3.下列文件为本合同不可分割的部分，并构成一个整体，需综合解释、相互补充。如果下列文件内容出现不一致的情形，在保证按照采购文件确定的事项的前提下，组成本合同的多个文件的优先适用顺序如下：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 本合同书及本合同书签署后各方以书面形式确认的补充协议等；</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 中标通知书；</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 招标文件及其附件；</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 乙方的投标文件；</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 乙方在招投标过程中所作的其它承诺、声明、书面澄清等；</w:t>
      </w:r>
      <w:r/>
    </w:p>
    <w:p>
      <w:pPr>
        <w:ind w:left="0" w:firstLine="422"/>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二、合同价格及费用结算：</w:t>
      </w:r>
      <w:r/>
    </w:p>
    <w:p>
      <w:pPr>
        <w:ind w:left="0" w:firstLine="420"/>
        <w:spacing w:line="5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1.本合同含税总价（人民币）：大写：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本合同价是指乙方为完成招标文件、采购清单中确定的所有内容。乙方已充分考虑为完成上述内容所必须的全部设备并进行相关服务所需的所有费用，即主要包括（但不限于）：</w:t>
      </w:r>
      <w:r>
        <w:rPr>
          <w:rFonts w:hint="eastAsia" w:hAnsi="宋体"/>
          <w:color w:val="000000"/>
          <w:sz w:val="24"/>
          <w:highlight w:val="none"/>
          <w:lang w:eastAsia="zh-CN"/>
        </w:rPr>
        <w:t xml:space="preserve">设备</w:t>
      </w:r>
      <w:r>
        <w:rPr>
          <w:rFonts w:hint="eastAsia" w:hAnsi="宋体"/>
          <w:color w:val="000000"/>
          <w:sz w:val="24"/>
          <w:highlight w:val="none"/>
        </w:rPr>
        <w:t xml:space="preserve">费用【含设备（包括主设备、配套设备</w:t>
      </w:r>
      <w:r>
        <w:rPr>
          <w:rFonts w:hint="eastAsia" w:hAnsi="宋体"/>
          <w:color w:val="000000"/>
          <w:sz w:val="24"/>
          <w:highlight w:val="none"/>
          <w:lang w:eastAsia="zh-CN"/>
        </w:rPr>
        <w:t xml:space="preserve">）、配套软件、辅材、附件、</w:t>
      </w:r>
      <w:r>
        <w:rPr>
          <w:rFonts w:hint="eastAsia" w:hAnsi="宋体"/>
          <w:color w:val="000000"/>
          <w:sz w:val="24"/>
          <w:highlight w:val="none"/>
        </w:rPr>
        <w:t xml:space="preserve">配件、</w:t>
      </w:r>
      <w:r>
        <w:rPr>
          <w:rFonts w:hint="eastAsia" w:hAnsi="宋体"/>
          <w:color w:val="000000"/>
          <w:sz w:val="24"/>
          <w:highlight w:val="none"/>
          <w:lang w:eastAsia="zh-CN"/>
        </w:rPr>
        <w:t xml:space="preserve">备品备件、</w:t>
      </w:r>
      <w:r>
        <w:rPr>
          <w:rFonts w:hint="eastAsia" w:ascii="宋体" w:hAnsi="宋体" w:cs="宋体"/>
          <w:color w:val="000000"/>
          <w:spacing w:val="-4"/>
          <w:sz w:val="24"/>
          <w:szCs w:val="24"/>
          <w:highlight w:val="none"/>
        </w:rPr>
        <w:t xml:space="preserve">专用工具、</w:t>
      </w:r>
      <w:r>
        <w:rPr>
          <w:rFonts w:hint="eastAsia" w:hAnsi="宋体"/>
          <w:color w:val="000000"/>
          <w:sz w:val="24"/>
          <w:highlight w:val="none"/>
          <w:lang w:eastAsia="zh-CN"/>
        </w:rPr>
        <w:t xml:space="preserve">技术资料等】、直接和间接成本费、</w:t>
      </w:r>
      <w:r>
        <w:rPr>
          <w:rFonts w:hint="eastAsia" w:hAnsi="宋体"/>
          <w:color w:val="000000"/>
          <w:sz w:val="24"/>
          <w:highlight w:val="none"/>
        </w:rPr>
        <w:t xml:space="preserve">劳务费、清洁费、</w:t>
      </w:r>
      <w:r>
        <w:rPr>
          <w:rFonts w:hint="eastAsia" w:ascii="宋体" w:hAnsi="宋体" w:cs="宋体"/>
          <w:color w:val="000000"/>
          <w:spacing w:val="-4"/>
          <w:sz w:val="24"/>
          <w:szCs w:val="24"/>
          <w:highlight w:val="none"/>
        </w:rPr>
        <w:t xml:space="preserve">采购费、生产费</w:t>
      </w:r>
      <w:r>
        <w:rPr>
          <w:rFonts w:hint="eastAsia" w:hAnsi="宋体"/>
          <w:color w:val="000000"/>
          <w:sz w:val="24"/>
          <w:highlight w:val="none"/>
        </w:rPr>
        <w:t xml:space="preserve">、包装费、运杂费（含运输费）、装卸费、调试（含试运行）费、</w:t>
      </w:r>
      <w:r>
        <w:rPr>
          <w:rFonts w:hint="eastAsia" w:hAnsi="宋体"/>
          <w:color w:val="000000"/>
          <w:sz w:val="24"/>
          <w:highlight w:val="none"/>
          <w:lang w:eastAsia="zh-CN"/>
        </w:rPr>
        <w:t xml:space="preserve">数据和网络的整合费、系统集成费、保修费、</w:t>
      </w:r>
      <w:r>
        <w:rPr>
          <w:rFonts w:hint="eastAsia" w:hAnsi="宋体"/>
          <w:color w:val="000000"/>
          <w:sz w:val="24"/>
          <w:highlight w:val="none"/>
        </w:rPr>
        <w:t xml:space="preserve">保险费、配合费、安装费、技术（含操作、维护等）培训及售后服务费、管理费</w:t>
      </w:r>
      <w:r>
        <w:rPr>
          <w:rFonts w:hint="eastAsia" w:ascii="宋体" w:hAnsi="宋体" w:cs="宋体"/>
          <w:color w:val="000000"/>
          <w:spacing w:val="-4"/>
          <w:sz w:val="24"/>
          <w:szCs w:val="24"/>
          <w:highlight w:val="none"/>
        </w:rPr>
        <w:t xml:space="preserve">、</w:t>
      </w:r>
      <w:r>
        <w:rPr>
          <w:rFonts w:hint="eastAsia" w:hAnsi="宋体"/>
          <w:color w:val="000000"/>
          <w:sz w:val="24"/>
          <w:highlight w:val="none"/>
        </w:rPr>
        <w:t xml:space="preserve">税金、利润、风险费、成品保护费、不可预见费及其他一切相关费用等所需的全部费</w:t>
      </w:r>
      <w:r>
        <w:rPr>
          <w:rFonts w:hint="eastAsia" w:hAnsi="宋体" w:eastAsia="宋体" w:cs="Times New Roman"/>
          <w:color w:val="000000"/>
          <w:sz w:val="24"/>
          <w:highlight w:val="none"/>
        </w:rPr>
        <w:t xml:space="preserve">用</w:t>
      </w:r>
      <w:r>
        <w:rPr>
          <w:rFonts w:hint="eastAsia" w:ascii="宋体" w:hAnsi="宋体"/>
          <w:bCs/>
          <w:color w:val="000000"/>
          <w:sz w:val="24"/>
          <w:szCs w:val="24"/>
          <w:highlight w:val="none"/>
        </w:rPr>
        <w:t xml:space="preserve">，凡漏项或少计均视为优惠</w:t>
      </w:r>
      <w:r>
        <w:rPr>
          <w:rFonts w:hint="eastAsia" w:ascii="宋体" w:hAnsi="宋体" w:cs="宋体"/>
          <w:color w:val="000000"/>
          <w:sz w:val="24"/>
          <w:highlight w:val="none"/>
        </w:rPr>
        <w:t xml:space="preserve">，甲方不另行增加费用。各类风险和政策性调整等风险已包括在合同价中，最终结算时除合同约定调整外一律不予调整。</w:t>
      </w:r>
      <w:r/>
    </w:p>
    <w:p>
      <w:pPr>
        <w:ind w:firstLine="480"/>
        <w:keepLines w:val="0"/>
        <w:keepNext w:val="0"/>
        <w:pageBreakBefore w:val="0"/>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w:t>
      </w:r>
      <w:r>
        <w:rPr>
          <w:rFonts w:hint="eastAsia" w:ascii="宋体" w:hAnsi="宋体" w:eastAsia="宋体" w:cs="宋体"/>
          <w:color w:val="000000"/>
          <w:spacing w:val="-4"/>
          <w:sz w:val="24"/>
          <w:szCs w:val="24"/>
          <w:highlight w:val="none"/>
          <w:lang w:val="en-US" w:eastAsia="zh-CN"/>
        </w:rPr>
        <w:t xml:space="preserve">.</w:t>
      </w:r>
      <w:r>
        <w:rPr>
          <w:rFonts w:hint="eastAsia" w:ascii="宋体" w:hAnsi="宋体" w:eastAsia="宋体" w:cs="宋体"/>
          <w:color w:val="000000"/>
          <w:spacing w:val="-4"/>
          <w:sz w:val="24"/>
          <w:szCs w:val="24"/>
          <w:highlight w:val="none"/>
        </w:rPr>
        <w:t xml:space="preserve">乙方已充分考虑人工、材料、供货周期等一切导致</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上涨的风险因素，并考虑甲方要求分批供货而导致</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价格波动的风险，其一切风险均由乙方自行负责。</w:t>
      </w:r>
      <w:r/>
    </w:p>
    <w:p>
      <w:pPr>
        <w:ind w:firstLine="480"/>
        <w:keepLines w:val="0"/>
        <w:keepNext w:val="0"/>
        <w:pageBreakBefore w:val="0"/>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w:t>
      </w:r>
      <w:r>
        <w:rPr>
          <w:rFonts w:hint="eastAsia" w:ascii="宋体" w:hAnsi="宋体" w:eastAsia="宋体" w:cs="宋体"/>
          <w:color w:val="000000"/>
          <w:spacing w:val="-4"/>
          <w:sz w:val="24"/>
          <w:szCs w:val="24"/>
          <w:highlight w:val="none"/>
          <w:lang w:val="en-US" w:eastAsia="zh-CN"/>
        </w:rPr>
        <w:t xml:space="preserve">.</w:t>
      </w:r>
      <w:r>
        <w:rPr>
          <w:rFonts w:hint="eastAsia" w:ascii="宋体" w:hAnsi="宋体" w:eastAsia="宋体" w:cs="宋体"/>
          <w:color w:val="000000"/>
          <w:spacing w:val="-4"/>
          <w:sz w:val="24"/>
          <w:szCs w:val="24"/>
          <w:highlight w:val="none"/>
        </w:rPr>
        <w:t xml:space="preserve">如合同履行过程中根据现场实际情况</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数量增加或者减少，以经甲方核实认定后的</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数量为准调整合同价。调整部分数量的综合单价应按乙方投标时</w:t>
      </w:r>
      <w:r>
        <w:rPr>
          <w:rFonts w:hint="eastAsia" w:ascii="宋体" w:hAnsi="宋体" w:eastAsia="宋体" w:cs="宋体"/>
          <w:color w:val="000000"/>
          <w:spacing w:val="-4"/>
          <w:sz w:val="24"/>
          <w:szCs w:val="24"/>
          <w:highlight w:val="none"/>
          <w:lang w:eastAsia="zh-CN"/>
        </w:rPr>
        <w:t xml:space="preserve">投标文件</w:t>
      </w:r>
      <w:r>
        <w:rPr>
          <w:rFonts w:hint="eastAsia" w:ascii="宋体" w:hAnsi="宋体" w:eastAsia="宋体" w:cs="宋体"/>
          <w:color w:val="000000"/>
          <w:spacing w:val="-4"/>
          <w:sz w:val="24"/>
          <w:szCs w:val="24"/>
          <w:highlight w:val="none"/>
        </w:rPr>
        <w:t xml:space="preserve">中所报的</w:t>
      </w:r>
      <w:r>
        <w:rPr>
          <w:rFonts w:hint="eastAsia" w:ascii="宋体" w:hAnsi="宋体" w:eastAsia="宋体" w:cs="宋体"/>
          <w:color w:val="000000"/>
          <w:spacing w:val="-4"/>
          <w:sz w:val="24"/>
          <w:szCs w:val="24"/>
          <w:highlight w:val="none"/>
          <w:lang w:eastAsia="zh-CN"/>
        </w:rPr>
        <w:t xml:space="preserve">设备</w:t>
      </w:r>
      <w:r>
        <w:rPr>
          <w:rFonts w:hint="eastAsia" w:ascii="宋体" w:hAnsi="宋体" w:eastAsia="宋体" w:cs="宋体"/>
          <w:color w:val="000000"/>
          <w:spacing w:val="-4"/>
          <w:sz w:val="24"/>
          <w:szCs w:val="24"/>
          <w:highlight w:val="none"/>
        </w:rPr>
        <w:t xml:space="preserve">综合单价为准。</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2.付款步骤：</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①自合同签订生效之日起，收到乙方发票10个工作日内，甲方向乙方支付合同总价的30%款项作为预付款；</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②所有货物安装完毕，甲方组织初步验收，初步验收合格后收到乙方发票10个工作日内甲方向乙方支付至合同总价的90%款项；</w:t>
      </w:r>
      <w:r/>
    </w:p>
    <w:p>
      <w:pPr>
        <w:ind w:left="0" w:firstLine="420"/>
        <w:spacing w:line="560" w:lineRule="exact"/>
        <w:widowControl w:val="off"/>
        <w:rPr>
          <w:rFonts w:hint="eastAsia" w:ascii="宋体" w:hAnsi="宋体" w:eastAsia="宋体" w:cs="宋体"/>
          <w:b/>
          <w:bCs/>
          <w:color w:val="0000ff"/>
          <w:sz w:val="24"/>
          <w:szCs w:val="24"/>
          <w:highlight w:val="none"/>
          <w:u w:val="single"/>
        </w:rPr>
      </w:pPr>
      <w:r>
        <w:rPr>
          <w:rFonts w:hint="eastAsia" w:ascii="宋体" w:hAnsi="宋体" w:eastAsia="宋体" w:cs="宋体"/>
          <w:b/>
          <w:bCs/>
          <w:color w:val="0000ff"/>
          <w:sz w:val="24"/>
          <w:szCs w:val="24"/>
          <w:highlight w:val="none"/>
          <w:u w:val="single"/>
        </w:rPr>
        <w:t xml:space="preserve">③初步验收合格且项目运行满5个月后，甲方组织最终验收，最终验收合格后收到乙方发票10个工作日内甲方付清货款。</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3.付款方式：本次货款以数字人民币或银行账户转账支付。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（1）乙方账户信息如下：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（2）乙方账户信息如下：</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4.乙方提请甲方款项结算前，需提供合法有效且符合甲方要求的销售发票，</w:t>
      </w:r>
      <w:bookmarkStart w:id="169" w:name="_Hlk44274401"/>
      <w:r>
        <w:rPr>
          <w:rFonts w:hint="eastAsia" w:ascii="宋体" w:hAnsi="宋体" w:eastAsia="宋体" w:cs="宋体"/>
          <w:sz w:val="24"/>
          <w:szCs w:val="24"/>
        </w:rPr>
        <w:t xml:space="preserve">因乙方未按约定提供材料的，甲方有权迟延付款，且不承担迟延付款责任</w:t>
      </w:r>
      <w:bookmarkEnd w:id="169"/>
      <w:r>
        <w:rPr>
          <w:rFonts w:hint="eastAsia" w:ascii="宋体" w:hAnsi="宋体" w:eastAsia="宋体" w:cs="宋体"/>
          <w:sz w:val="24"/>
          <w:szCs w:val="24"/>
        </w:rPr>
        <w:t xml:space="preserve">。</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5.除本合同特别约定外，根据现行税法对甲方征收的与本合同有关的一切税费均由甲方承担；根据现行税法对乙方征收的与本合同有关的一切税费均由乙方承担。</w:t>
      </w:r>
      <w:r/>
    </w:p>
    <w:p>
      <w:pPr>
        <w:ind w:left="0" w:firstLine="420"/>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履约保证金</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6.1乙方交纳人民币_________元作为本合同的履约保证金。</w:t>
      </w:r>
      <w:r/>
    </w:p>
    <w:p>
      <w:pPr>
        <w:ind w:left="0" w:firstLine="42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（备注：不得超过合同金额的10%，采购人</w:t>
      </w:r>
      <w:r>
        <w:rPr>
          <w:rFonts w:hint="eastAsia" w:ascii="宋体" w:hAnsi="宋体" w:eastAsia="宋体" w:cs="宋体"/>
          <w:sz w:val="24"/>
          <w:szCs w:val="24"/>
          <w:lang w:eastAsia="zh-CN"/>
        </w:rPr>
        <w:t xml:space="preserve">应当</w:t>
      </w:r>
      <w:r>
        <w:rPr>
          <w:rFonts w:hint="eastAsia" w:ascii="宋体" w:hAnsi="宋体" w:eastAsia="宋体" w:cs="宋体"/>
          <w:sz w:val="24"/>
          <w:szCs w:val="24"/>
        </w:rPr>
        <w:t xml:space="preserve">对AA评级及以上政府采购供应商（需提供信用管理部门</w:t>
      </w:r>
      <w:r>
        <w:rPr>
          <w:rFonts w:hint="eastAsia" w:ascii="宋体" w:hAnsi="宋体" w:eastAsia="宋体" w:cs="宋体"/>
          <w:color w:val="000000" w:themeColor="text1"/>
          <w:sz w:val="24"/>
          <w:szCs w:val="24"/>
          <w14:textFill>
            <w14:solidFill>
              <w14:schemeClr w14:val="tx1"/>
            </w14:solidFill>
          </w14:textFill>
        </w:rPr>
        <w:t xml:space="preserve">备案的第三方信用报告）</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降低履约保证金缴纳比例至合同金额的5%。</w:t>
      </w:r>
      <w:r/>
    </w:p>
    <w:p>
      <w:pPr>
        <w:ind w:left="0" w:firstLine="42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2确需收取履约保证金的，</w:t>
      </w:r>
      <w:r>
        <w:rPr>
          <w:rFonts w:hint="eastAsia" w:ascii="宋体" w:hAnsi="宋体" w:eastAsia="宋体" w:cs="宋体"/>
          <w:sz w:val="24"/>
          <w:szCs w:val="24"/>
          <w:lang w:eastAsia="zh-CN"/>
        </w:rPr>
        <w:t xml:space="preserve">履约保证金的缴纳形式：</w:t>
      </w:r>
      <w:r/>
    </w:p>
    <w:p>
      <w:pPr>
        <w:ind w:left="0" w:firstLine="42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6.2.1</w:t>
      </w:r>
      <w:r>
        <w:rPr>
          <w:rFonts w:hint="eastAsia" w:ascii="宋体" w:hAnsi="宋体" w:eastAsia="宋体" w:cs="宋体"/>
          <w:sz w:val="24"/>
          <w:szCs w:val="24"/>
        </w:rPr>
        <w:t xml:space="preserve">供应商应当以支票、汇票、本票或者金融机构、担保机构出具的保函等非现金形式提交</w:t>
      </w:r>
      <w:r>
        <w:rPr>
          <w:rFonts w:hint="eastAsia" w:ascii="宋体" w:hAnsi="宋体" w:eastAsia="宋体" w:cs="宋体"/>
          <w:sz w:val="24"/>
          <w:szCs w:val="24"/>
          <w:lang w:eastAsia="zh-CN"/>
        </w:rPr>
        <w:t xml:space="preserve">履约保证金</w:t>
      </w:r>
      <w:r>
        <w:rPr>
          <w:rFonts w:hint="eastAsia" w:ascii="宋体" w:hAnsi="宋体" w:eastAsia="宋体" w:cs="宋体"/>
          <w:sz w:val="24"/>
          <w:szCs w:val="24"/>
        </w:rPr>
        <w:t xml:space="preserve">。依据《关于在全省政府采购领域推行电子履约保函（保险）的通知》，鼓励供应商自愿使用</w:t>
      </w:r>
      <w:r>
        <w:rPr>
          <w:rFonts w:hint="eastAsia" w:ascii="宋体" w:hAnsi="宋体" w:eastAsia="宋体" w:cs="宋体"/>
          <w:sz w:val="24"/>
          <w:szCs w:val="24"/>
          <w:lang w:eastAsia="zh-CN"/>
        </w:rPr>
        <w:t xml:space="preserve">电子</w:t>
      </w:r>
      <w:r>
        <w:rPr>
          <w:rFonts w:hint="eastAsia" w:ascii="宋体" w:hAnsi="宋体" w:eastAsia="宋体" w:cs="宋体"/>
          <w:sz w:val="24"/>
          <w:szCs w:val="24"/>
        </w:rPr>
        <w:t xml:space="preserve">履约保函（保险）代替缴纳履约保证金</w:t>
      </w:r>
      <w:r>
        <w:rPr>
          <w:rFonts w:hint="eastAsia" w:ascii="宋体" w:hAnsi="宋体" w:eastAsia="宋体" w:cs="宋体"/>
          <w:sz w:val="24"/>
          <w:szCs w:val="24"/>
          <w:lang w:eastAsia="zh-CN"/>
        </w:rPr>
        <w:t xml:space="preserve">。</w:t>
      </w:r>
      <w:r/>
    </w:p>
    <w:p>
      <w:pPr>
        <w:ind w:left="0" w:firstLine="42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6.2.2 如以履约保函（保险）形式缴纳履约保证金，供应商可通过政府采购电子履约保函（保险）平台（www.jsdzbh.com）在线申请履约保函（保险）。</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合同履行结束后，甲方应及时退还交纳的履约保证金。</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履约保证金的退还：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.1方式：退还至投标人缴纳履约保证金的账户。如为保函，在到期时自行失效。</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.2时间：验收合格且采购人收到发票后30日内。</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.4不予退还情形：</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文件规定要求的；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（4）中标人采取欺骗、弄虚作假方式投标的或与其它投标人串通投标的；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20"/>
        <w:spacing w:line="560" w:lineRule="exact"/>
        <w:widowControl w:val="off"/>
        <w:rPr>
          <w:rFonts w:eastAsia="宋体"/>
          <w:lang w:val="en-US"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22"/>
        <w:spacing w:line="5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三、服务要求：</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1.交货地点：</w:t>
      </w:r>
      <w:r>
        <w:rPr>
          <w:rFonts w:hint="eastAsia" w:ascii="宋体" w:hAnsi="宋体" w:eastAsia="宋体" w:cs="宋体"/>
          <w:bCs/>
          <w:sz w:val="24"/>
          <w:szCs w:val="24"/>
          <w:u w:val="single"/>
          <w:lang w:val="en-US" w:eastAsia="zh-CN"/>
        </w:rPr>
        <w:t xml:space="preserve">江苏省盐城技师学院</w:t>
      </w:r>
      <w:r>
        <w:rPr>
          <w:rFonts w:hint="eastAsia" w:ascii="宋体" w:hAnsi="宋体" w:cs="宋体"/>
          <w:bCs/>
          <w:sz w:val="24"/>
          <w:szCs w:val="24"/>
          <w:u w:val="single"/>
          <w:lang w:val="en-US" w:eastAsia="zh-CN"/>
        </w:rPr>
        <w:t xml:space="preserve">（海洋路校区）</w:t>
      </w:r>
      <w:r>
        <w:rPr>
          <w:rFonts w:hint="eastAsia" w:ascii="宋体" w:hAnsi="宋体" w:eastAsia="宋体" w:cs="宋体"/>
          <w:bCs/>
          <w:sz w:val="24"/>
          <w:szCs w:val="24"/>
          <w:lang w:val="en-US" w:eastAsia="zh-CN"/>
        </w:rPr>
        <w:t xml:space="preserve">。</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2.验收要求：</w:t>
      </w:r>
      <w:r>
        <w:rPr>
          <w:rFonts w:hint="eastAsia" w:ascii="宋体" w:hAnsi="宋体" w:eastAsia="宋体" w:cs="宋体"/>
          <w:bCs/>
          <w:sz w:val="24"/>
          <w:szCs w:val="24"/>
          <w:u w:val="single"/>
          <w:lang w:val="en-US" w:eastAsia="zh-CN"/>
        </w:rPr>
        <w:t xml:space="preserve">采购人根据国家有关规定、招标文件、中标人的投标文件、财务相关规定以及合同约定的内容和验收标准进行验收。验收情况作为支付货款的依据。因质量问题发生争议的，应当邀请国家认可的质量检测机构对服务质量进行鉴定。符合标准的，鉴定费由采购人承担；不符合标准的，鉴定费由供应商承担，供应商必须接受采购单位的监督管理。</w:t>
      </w:r>
      <w:r/>
    </w:p>
    <w:p>
      <w:pPr>
        <w:ind w:left="0" w:firstLine="420"/>
        <w:spacing w:line="56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3.本项目提供</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的货物和软件须为当前</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最新版本，所供货物免费质保期为三年，软件提供终身质保和三年免费升级维护服务，质量保证期从最终验收合格之日起计算，具体要求如下：</w:t>
      </w:r>
      <w:r/>
    </w:p>
    <w:p>
      <w:pPr>
        <w:ind w:left="0" w:firstLine="420"/>
        <w:spacing w:line="5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①在质保期内：</w:t>
      </w:r>
      <w:r>
        <w:rPr>
          <w:rFonts w:hint="eastAsia" w:ascii="宋体" w:hAnsi="宋体" w:eastAsia="宋体" w:cs="宋体"/>
          <w:bCs/>
          <w:sz w:val="24"/>
          <w:szCs w:val="24"/>
          <w:u w:val="single"/>
          <w:lang w:val="en-US" w:eastAsia="zh-CN"/>
        </w:rPr>
        <w:t xml:space="preserve">应按甲方要求免费提供系统版本更新升级服务、系统软件应用和维护技术咨询服务、提供电话或现场技术服务等。乙方须确保7x24小时全天候技术支持，免费质量保证期内货物（软件）一旦出现故障，乙方电话响应时间不超过1小时，如电话沟通不能解决，必须在24小时内到现场解决。</w:t>
      </w:r>
      <w:r/>
    </w:p>
    <w:p>
      <w:pPr>
        <w:ind w:left="0" w:firstLine="420"/>
        <w:spacing w:line="560" w:lineRule="exact"/>
        <w:widowControl w:val="off"/>
        <w:rPr>
          <w:rFonts w:hint="eastAsia" w:ascii="宋体" w:hAnsi="宋体" w:eastAsia="宋体" w:cs="宋体"/>
          <w:bCs/>
          <w:sz w:val="24"/>
          <w:szCs w:val="24"/>
          <w:u w:val="single"/>
          <w:lang w:val="en-US" w:eastAsia="zh-CN"/>
        </w:rPr>
      </w:pPr>
      <w:r>
        <w:rPr>
          <w:rFonts w:hint="eastAsia" w:ascii="宋体" w:hAnsi="宋体" w:eastAsia="宋体" w:cs="宋体"/>
          <w:bCs/>
          <w:sz w:val="24"/>
          <w:szCs w:val="24"/>
          <w:lang w:val="en-US" w:eastAsia="zh-CN"/>
        </w:rPr>
        <w:t xml:space="preserve">②质保期外：</w:t>
      </w:r>
      <w:r>
        <w:rPr>
          <w:rFonts w:hint="eastAsia" w:ascii="宋体" w:hAnsi="宋体" w:eastAsia="宋体" w:cs="宋体"/>
          <w:bCs/>
          <w:sz w:val="24"/>
          <w:szCs w:val="24"/>
          <w:u w:val="single"/>
          <w:lang w:val="en-US" w:eastAsia="zh-CN"/>
        </w:rPr>
        <w:t xml:space="preserve">免费质量保证期</w:t>
      </w:r>
      <w:r>
        <w:rPr>
          <w:rFonts w:hint="eastAsia" w:ascii="宋体" w:hAnsi="宋体" w:cs="宋体"/>
          <w:bCs/>
          <w:sz w:val="24"/>
          <w:szCs w:val="24"/>
          <w:u w:val="single"/>
          <w:lang w:val="en-US" w:eastAsia="zh-CN"/>
        </w:rPr>
        <w:t xml:space="preserve">及软件升级维护服务</w:t>
      </w:r>
      <w:r>
        <w:rPr>
          <w:rFonts w:hint="eastAsia" w:ascii="宋体" w:hAnsi="宋体" w:eastAsia="宋体" w:cs="宋体"/>
          <w:bCs/>
          <w:sz w:val="24"/>
          <w:szCs w:val="24"/>
          <w:u w:val="single"/>
          <w:lang w:val="en-US" w:eastAsia="zh-CN"/>
        </w:rPr>
        <w:t xml:space="preserve">结束后，乙方仍应对产品提供有偿维护及升级服务，相关服务须满足甲方要求；出现问题时，乙方必须在1小时内电话响应（如电话沟通可以解决则不收取人工服务费），如电话沟通不能解决须在24小时内到现场解决，并保证以不高于行业和市场行情的价格收取成本费用。</w:t>
      </w:r>
      <w:r/>
    </w:p>
    <w:p>
      <w:pPr>
        <w:ind w:left="0" w:firstLine="422"/>
        <w:spacing w:line="5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四、设备的要求</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1.设备应按照招标文件、合同规定要求和投标承诺供应，选择使用寿命长、品质佳、性能价格优的设备，并需对投标文件涉及到专利负责，保证在任何情况下，不伤害甲方利益。</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2.设备标准、规范：所供设备的质量、型号、品牌、技术要求（参数）及性能应满足招标文件、合同规定要求和投标承诺，若招标文件、合同规定要求和投标承诺中无相应规定，则应符合相应的国家现行的相关规范标准。</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3.乙方所供设备品牌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4.乙方在设备供货时要充分考虑相关验收规范要求，若因设备原因造成不能通过验收，乙方应承担相应全部责任。</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5.乙方应保护甲方在使用该设备或其任何一部分时不受第三方提出侵犯专利权、商标权或工业设计权的指控。如果任何第三方提出侵权指控，乙方须与第三方交涉并承担可能发生的一切法律责任和费用。</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6.乙方应保证投标文件及合同的履行均未侵犯他人的知识产权，否则必须承担全部责任。若乙方使用了他人的专利、专有技术，涉及的费用由乙方承担。</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7.本次供应的设备应为完整的设备及所相关的功能，乙方应无条件提供，由于设计及其他原因所造成的额外费用由乙方自行承担。由于甲方要求删除部分设备、功能及其服务，乙方应予在合同总价中扣除该部分的价格。甲方就部分设备及其功能作修改时，乙方应予以充分配合。</w:t>
      </w:r>
      <w:r/>
    </w:p>
    <w:p>
      <w:pPr>
        <w:ind w:left="0" w:firstLine="420"/>
        <w:spacing w:line="56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8.在合同执行过程中，如果国家相应的技术规范作出调整，或设备的技术有了较大的更新，乙方应相应地更改所供设备的相应部件，所发生的费用应予以相应的增减。</w:t>
      </w:r>
      <w:r/>
    </w:p>
    <w:p>
      <w:pPr>
        <w:ind w:left="0" w:firstLine="422"/>
        <w:spacing w:line="560" w:lineRule="exact"/>
        <w:widowControl w:val="off"/>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五、权利和义务</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5.1</w:t>
      </w:r>
      <w:r>
        <w:rPr>
          <w:rFonts w:hint="eastAsia" w:ascii="宋体" w:hAnsi="宋体" w:eastAsia="宋体" w:cs="宋体"/>
          <w:b/>
          <w:sz w:val="24"/>
          <w:szCs w:val="24"/>
        </w:rPr>
        <w:t xml:space="preserve">甲方权利和义务：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1、根据甲方采购要求及乙方响应文件中的承诺，对乙方提供的服务及履行本合同情况实行验收考核。</w:t>
      </w:r>
      <w:r/>
    </w:p>
    <w:p>
      <w:pPr>
        <w:pStyle w:val="837"/>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2、甲方有权随时对乙方的系统维护服务情况进行监督并提出整改意见。</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3、如乙方提供的服务人员所提供服务不符合甲方要求及乙方响应文件中的承诺，甲方有权要求乙方在</w:t>
      </w:r>
      <w:r>
        <w:rPr>
          <w:rFonts w:hint="eastAsia" w:ascii="宋体" w:hAnsi="宋体" w:cs="宋体"/>
          <w:sz w:val="24"/>
          <w:szCs w:val="24"/>
          <w:lang w:val="en-US" w:eastAsia="zh-CN"/>
        </w:rPr>
        <w:t xml:space="preserve">2个工作</w:t>
      </w:r>
      <w:r>
        <w:rPr>
          <w:rFonts w:hint="eastAsia" w:ascii="宋体" w:hAnsi="宋体" w:eastAsia="宋体" w:cs="宋体"/>
          <w:bCs/>
          <w:sz w:val="24"/>
          <w:szCs w:val="24"/>
        </w:rPr>
        <w:t xml:space="preserve">日内更换，</w:t>
      </w:r>
      <w:bookmarkStart w:id="170" w:name="_Hlk194485190"/>
      <w:r>
        <w:rPr>
          <w:rFonts w:hint="eastAsia" w:ascii="宋体" w:hAnsi="宋体" w:eastAsia="宋体" w:cs="宋体"/>
          <w:bCs/>
          <w:sz w:val="24"/>
          <w:szCs w:val="24"/>
        </w:rPr>
        <w:t xml:space="preserve">服务人员必须为乙方公司人员（以社保缴纳记录及工资发放记录为准）</w:t>
      </w:r>
      <w:bookmarkEnd w:id="170"/>
      <w:r>
        <w:rPr>
          <w:rFonts w:hint="eastAsia" w:ascii="宋体" w:hAnsi="宋体" w:eastAsia="宋体" w:cs="宋体"/>
          <w:bCs/>
          <w:sz w:val="24"/>
          <w:szCs w:val="24"/>
        </w:rPr>
        <w:t xml:space="preserve">。</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4、甲方必须满足本采购文件相关要求。</w:t>
      </w:r>
      <w:r/>
    </w:p>
    <w:p>
      <w:pPr>
        <w:ind w:left="0" w:firstLine="422"/>
        <w:spacing w:line="56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5.2</w:t>
      </w:r>
      <w:r>
        <w:rPr>
          <w:rFonts w:hint="eastAsia" w:ascii="宋体" w:hAnsi="宋体" w:eastAsia="宋体" w:cs="宋体"/>
          <w:b/>
          <w:sz w:val="24"/>
          <w:szCs w:val="24"/>
        </w:rPr>
        <w:t xml:space="preserve">乙方权利和义务：</w:t>
      </w:r>
      <w:r/>
    </w:p>
    <w:p>
      <w:pPr>
        <w:ind w:left="0" w:firstLine="420"/>
        <w:spacing w:line="56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（一）乙方根据甲方有关要求，在约定的时间内（合同签订后</w:t>
      </w:r>
      <w:r>
        <w:rPr>
          <w:rFonts w:hint="eastAsia" w:ascii="宋体" w:hAnsi="宋体" w:cs="宋体"/>
          <w:sz w:val="24"/>
          <w:szCs w:val="24"/>
          <w:lang w:val="en-US" w:eastAsia="zh-CN"/>
        </w:rPr>
        <w:t xml:space="preserve">30日历天内</w:t>
      </w:r>
      <w:r>
        <w:rPr>
          <w:rFonts w:hint="eastAsia" w:ascii="宋体" w:hAnsi="宋体" w:eastAsia="宋体" w:cs="宋体"/>
          <w:bCs/>
          <w:sz w:val="24"/>
          <w:szCs w:val="24"/>
        </w:rPr>
        <w:t xml:space="preserve">）完成</w:t>
      </w:r>
      <w:r>
        <w:rPr>
          <w:rFonts w:hint="eastAsia" w:ascii="宋体" w:hAnsi="宋体" w:cs="宋体"/>
          <w:bCs/>
          <w:sz w:val="24"/>
          <w:szCs w:val="24"/>
          <w:lang w:val="en-US" w:eastAsia="zh-CN"/>
        </w:rPr>
        <w:t xml:space="preserve">供货</w:t>
      </w:r>
      <w:r>
        <w:rPr>
          <w:rFonts w:hint="eastAsia" w:ascii="宋体" w:hAnsi="宋体" w:cs="宋体"/>
          <w:bCs/>
          <w:color w:val="auto"/>
          <w:sz w:val="24"/>
          <w:szCs w:val="24"/>
          <w:lang w:val="en-US" w:eastAsia="zh-CN"/>
        </w:rPr>
        <w:t xml:space="preserve">及</w:t>
      </w:r>
      <w:r>
        <w:rPr>
          <w:rFonts w:hint="eastAsia" w:ascii="宋体" w:hAnsi="宋体" w:eastAsia="宋体" w:cs="宋体"/>
          <w:bCs/>
          <w:color w:val="auto"/>
          <w:sz w:val="24"/>
          <w:szCs w:val="24"/>
        </w:rPr>
        <w:t xml:space="preserve">软件部署交付，未在约定时间完成交付的，甲方有权解除合同。服务期间内</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本项目提供</w:t>
      </w:r>
      <w:r>
        <w:rPr>
          <w:rFonts w:hint="eastAsia" w:ascii="宋体" w:hAnsi="宋体" w:eastAsia="宋体" w:cs="宋体"/>
          <w:bCs/>
          <w:color w:val="auto"/>
          <w:sz w:val="24"/>
          <w:szCs w:val="24"/>
          <w:u w:val="none"/>
          <w:lang w:val="en-US" w:eastAsia="zh-CN"/>
        </w:rPr>
        <w:t xml:space="preserve">的货物和软件须为当前</w:t>
      </w:r>
      <w:r>
        <w:rPr>
          <w:rFonts w:hint="eastAsia" w:ascii="宋体" w:hAnsi="宋体" w:eastAsia="宋体" w:cs="宋体"/>
          <w:bCs/>
          <w:color w:val="auto"/>
          <w:sz w:val="24"/>
          <w:szCs w:val="24"/>
          <w:lang w:val="en-US" w:eastAsia="zh-CN"/>
        </w:rPr>
        <w:t xml:space="preserve">最新版本，所供货物免费质保期为三年，软件提供终身质保和三年免费升级维护服务，质量保证期从最终验收合格之日起计算</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乙方应配合甲方完成本项目服务内容。乙方因履行本合同而知悉的甲方（及其分支机构）文件、资料、信息，除甲方作出相反的书面说明外，均视为甲方的保密信息，乙方不得向乙方内部无关人员以及任何第三方泄露，也不得用于本合同</w:t>
      </w:r>
      <w:r>
        <w:rPr>
          <w:rFonts w:hint="eastAsia" w:ascii="宋体" w:hAnsi="宋体" w:eastAsia="宋体" w:cs="宋体"/>
          <w:bCs/>
          <w:sz w:val="24"/>
          <w:szCs w:val="24"/>
        </w:rPr>
        <w:t xml:space="preserve">约定之外的用途。乙方承担保密义务的时间为永久。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乙方应根据甲方要求安排技术支持服务人员，乙方应当确保其安排的服务人员充足且拥有相关职业资质，并具有提供服务的必要经验，且服务人员必须为乙方公司人员（以社保缴纳记录及工资发放记录为准）。若甲方认为乙方指派的项目人员不合格的，有权要求乙方更换，乙方应在2个工作日内完成更换，否则应按照2000元/人次向甲方支付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（三）乙方应保证乙方及其工作人员具有相应的资质，并采取必要的安全措施。</w:t>
      </w:r>
      <w:bookmarkStart w:id="171" w:name="OLE_LINK27"/>
      <w:r/>
      <w:bookmarkStart w:id="172" w:name="OLE_LINK28"/>
      <w:r>
        <w:rPr>
          <w:rFonts w:hint="eastAsia" w:ascii="宋体" w:hAnsi="宋体" w:eastAsia="宋体" w:cs="宋体"/>
          <w:bCs/>
          <w:sz w:val="24"/>
          <w:szCs w:val="24"/>
        </w:rPr>
        <w:t xml:space="preserve">乙方工作人员应遵守甲方的工作规范和安全要求</w:t>
      </w:r>
      <w:bookmarkEnd w:id="171"/>
      <w:r/>
      <w:bookmarkEnd w:id="172"/>
      <w:r>
        <w:rPr>
          <w:rFonts w:hint="eastAsia" w:ascii="宋体" w:hAnsi="宋体" w:eastAsia="宋体" w:cs="宋体"/>
          <w:bCs/>
          <w:sz w:val="24"/>
          <w:szCs w:val="24"/>
        </w:rPr>
        <w:t xml:space="preserve">，乙方工作人员在服务过程中发生的意外事故、重大疾病、猝死等均由乙方承担责任，与甲方无关。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人道主义慰问金等。给甲方造成损失的，乙方应赔偿甲方一切直接、间接损失。</w:t>
      </w:r>
      <w:r/>
    </w:p>
    <w:p>
      <w:pPr>
        <w:pStyle w:val="837"/>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（四）乙方应按甲方要求做好维保记录并提交甲方审核。本项目在实施过程中收集、转换、处理及加工形成的所有知识产权、数据成果等归</w:t>
      </w:r>
      <w:r>
        <w:rPr>
          <w:rFonts w:hint="eastAsia" w:ascii="宋体" w:hAnsi="宋体" w:cs="宋体"/>
          <w:bCs/>
          <w:sz w:val="24"/>
          <w:szCs w:val="24"/>
          <w:lang w:val="en-US" w:eastAsia="zh-CN"/>
        </w:rPr>
        <w:t xml:space="preserve">甲方</w:t>
      </w:r>
      <w:r>
        <w:rPr>
          <w:rFonts w:hint="eastAsia" w:ascii="宋体" w:hAnsi="宋体" w:eastAsia="宋体" w:cs="宋体"/>
          <w:bCs/>
          <w:sz w:val="24"/>
          <w:szCs w:val="24"/>
        </w:rPr>
        <w:t xml:space="preserve">所有。未经甲方书面同意，乙方不得擅自使用或者授权他人使用，其他任何人不得将成果的全部或部分披露或提供给第三方。乙方需承诺在项目交接上无条件服务甲方做好数据迁移、对接等工作。</w:t>
      </w:r>
      <w:r/>
    </w:p>
    <w:p>
      <w:pPr>
        <w:pStyle w:val="837"/>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五）乙方应保证其在提供服务过程中不会侵犯任何第三方知识产权和其他合法权益，不会对甲方造成任何损害。因乙方原因致使第三方向甲方提起诉讼或索赔的，一切法律责任由乙方承担，与甲方无关。给甲方造成损失的，乙方应赔偿甲方一切直接、间接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（六）乙方必须满足本采购文件要求。</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六、应急响应服务：</w:t>
      </w:r>
      <w:r/>
    </w:p>
    <w:p>
      <w:pPr>
        <w:ind w:left="0"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为确保维保工作的有序开展，乙方需指派具有丰富经验的技术人员提供维保服务。项目组成员具备相应的专业技能和部署经验，服务期间人员变更应征求甲方意见，制定详实的实施方案，保障项目顺利实施。</w:t>
      </w:r>
      <w:r/>
    </w:p>
    <w:p>
      <w:pPr>
        <w:ind w:left="0" w:firstLine="42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乙方须负责提供7*24小时应急响应服务，并保证相关联系电话有专人值守，全年不限次数提供应急响应服务，响应时间不超过【</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小时</w:t>
      </w:r>
      <w:r>
        <w:rPr>
          <w:rFonts w:hint="eastAsia" w:ascii="宋体" w:hAnsi="宋体" w:eastAsia="宋体" w:cs="宋体"/>
          <w:bCs/>
          <w:sz w:val="24"/>
          <w:szCs w:val="24"/>
        </w:rPr>
        <w:t xml:space="preserve">，解决问题时间不超过【</w:t>
      </w:r>
      <w:r>
        <w:rPr>
          <w:rFonts w:hint="eastAsia" w:ascii="宋体" w:hAnsi="宋体" w:cs="宋体"/>
          <w:bCs/>
          <w:sz w:val="24"/>
          <w:szCs w:val="24"/>
          <w:lang w:val="en-US" w:eastAsia="zh-CN"/>
        </w:rPr>
        <w:t xml:space="preserve">24</w:t>
      </w:r>
      <w:r>
        <w:rPr>
          <w:rFonts w:hint="eastAsia" w:ascii="宋体" w:hAnsi="宋体" w:eastAsia="宋体" w:cs="宋体"/>
          <w:bCs/>
          <w:sz w:val="24"/>
          <w:szCs w:val="24"/>
        </w:rPr>
        <w:t xml:space="preserve">】小时。整个服务期内，因乙方无法在甲方要求时间内响应并解决问题的，甲方有权立即终止服务合同，所产生的全部经济与法律损失由乙方承担，同时甲方也有权采取其他措施，包括但不限于另行聘请第三方提供维修服务，由此产生的一切费用均由乙方承担。</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七、保密条款：</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（一）乙方在本合同签订、履行过程中知悉的甲方一切资料和信息，包括但不限于有关本合同甲方的内部资料、业务信息</w:t>
      </w:r>
      <w:r>
        <w:rPr>
          <w:rFonts w:hint="eastAsia" w:ascii="宋体" w:hAnsi="宋体" w:cs="宋体"/>
          <w:bCs/>
          <w:sz w:val="24"/>
          <w:szCs w:val="24"/>
          <w:lang w:val="en-US" w:eastAsia="zh-CN"/>
        </w:rPr>
        <w:t xml:space="preserve">及</w:t>
      </w:r>
      <w:r>
        <w:rPr>
          <w:rFonts w:hint="eastAsia" w:ascii="宋体" w:hAnsi="宋体" w:eastAsia="宋体" w:cs="宋体"/>
          <w:bCs/>
          <w:sz w:val="24"/>
          <w:szCs w:val="24"/>
        </w:rPr>
        <w:t xml:space="preserve">技术资料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（五）无论本合同是否变更、解除或终止，合同的保密条款不受其限制而继续有效，乙方都应继续承担保密条款约定的保密义务。保密义务的期限为永久。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八、不可抗力：</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合同一方不履行合同义务或者履行合同义务不符合约定的，应当承担继续履行、采取补救措施或赔偿损失等违约责任。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（一）甲方违约责任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1、本合同生效后，甲方无正当理由要求终止服务的，应向乙方支付本合同总金额20%的违约金，违约金不足以弥补损失的，乙方有权要求甲方补足。</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2、甲方逾期支付合同价款的，每逾期1日，应向乙方支付逾期付款金额万分之四的违约金，</w:t>
      </w:r>
      <w:bookmarkStart w:id="173" w:name="_Hlk27642747"/>
      <w:r>
        <w:rPr>
          <w:rFonts w:hint="eastAsia" w:ascii="宋体" w:hAnsi="宋体" w:eastAsia="宋体" w:cs="宋体"/>
          <w:bCs/>
          <w:sz w:val="24"/>
          <w:szCs w:val="24"/>
        </w:rPr>
        <w:t xml:space="preserve">但甲方支付的该项违约金总额以逾期付款金额的20%为限</w:t>
      </w:r>
      <w:bookmarkEnd w:id="173"/>
      <w:r>
        <w:rPr>
          <w:rFonts w:hint="eastAsia" w:ascii="宋体" w:hAnsi="宋体" w:eastAsia="宋体" w:cs="宋体"/>
          <w:bCs/>
          <w:sz w:val="24"/>
          <w:szCs w:val="24"/>
        </w:rPr>
        <w:t xml:space="preserve">。</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（二）乙方违约责任</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1、因乙方原因延期发货或延迟软件产品的安装调试及开通，每延期1天，乙方向甲方支付本合同价格的1%的违约金，违约金总额不超过本合同总价格的20%。</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乙方提供的软件产品功能与招标的技术参数不符，不符合甲方的教学功能需求，乙方向甲方支付合同价款10%的违约金。乙方重新更换软件产品直至满足甲方的要求，如乙方无法提供满足甲方要求的软件产品，甲方有权解除合同，乙方向甲方支付合同价款100%的违约金，对甲方造成的一切损失均由乙方承担。</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若乙方违反本合同约定，包括但不限于擅自更换服务人员、安排的服务人员无法胜任工作、无法按时响应甲方应急服务、服务人员违反保密义务等，经甲方催告后【10】日内仍未改正的或该违约情形无法改正的，甲方有权要求乙方立即向甲方支付本合同总金额【30】%的违约金，且甲方有权解除本合同，要求乙方立即退回本合同项下已收取的全部款项。</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乙方不能提供服务的（逾期未提供服务超过15日视为不能提供服务），或服务不合格从而影响甲方按期正常使用的，应向甲方支付本合同总价款【20】%的违约金，同时承担甲方因此产生的损失费用。因乙方违约导致甲方解除合同的，甲方有权另行采购本合同约定的服务，乙方应当支付甲方因此额外支付的费用和受到的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、乙方逾期提供服务的，应与甲方协商，甲方仍要求乙方继续提供服务的，乙方应立即提供服务并按照逾期服务金额的每天万分之四支付逾期违约金，同时承担甲方因此产生的损失费用。</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乙方在服务过程中向甲方提交虚假材料，或不如实告知维护服务的具体情况，致使甲方产生损失的，甲方有权终止本合同，乙方应向甲方支付本合同总价款【30】%的违约金，返还甲方已支付的服务费用并赔偿甲方一切直接、间接损失。</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7、服务过程中，如甲方发现问题后</w:t>
      </w:r>
      <w:r>
        <w:rPr>
          <w:rFonts w:hint="eastAsia" w:ascii="宋体" w:hAnsi="宋体" w:eastAsia="宋体" w:cs="宋体"/>
          <w:bCs/>
          <w:sz w:val="24"/>
          <w:szCs w:val="24"/>
        </w:rPr>
        <w:t xml:space="preserve">乙方未按甲方要求进行整改或经整改后仍不合格的，视为乙方违约，甲方有权解除本合同，乙方应向甲方支付本合同总价款【30】%的违约金，同时承担甲方因此产生的损失费用。</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、本项目禁止任何形式的转包与分包，如乙方出现违反上述约定的情况，甲方有权解除本合同，同时乙方应当立即退回已收取的全部款项并向甲方支付本合同总金额【30】%的违约金。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、乙方因履行本合同而需向甲方支付款项的（包括但不限于违约赔偿、退款等），甲方有权直接自未付款项中予以抵扣，不足部分甲方有权要求乙方补足。</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、乙方逾期支付本合同约定的任何款项（包括但不限于违约赔偿、退款等）的，每逾期一日，乙方应当甲方支付逾期金额万分之四的违约金。</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11</w:t>
      </w:r>
      <w:r>
        <w:rPr>
          <w:rFonts w:hint="eastAsia" w:ascii="宋体" w:hAnsi="宋体" w:eastAsia="宋体" w:cs="宋体"/>
          <w:bCs/>
          <w:sz w:val="24"/>
          <w:szCs w:val="24"/>
        </w:rPr>
        <w:t xml:space="preserve">、本合同约定的乙方应付违约金不足以弥补甲方一切直接或间接损失的，乙方应当足额赔偿。</w:t>
      </w:r>
      <w:r/>
    </w:p>
    <w:p>
      <w:pPr>
        <w:ind w:left="0" w:firstLine="420"/>
        <w:spacing w:line="560" w:lineRule="exact"/>
        <w:widowControl w:val="off"/>
        <w:rPr>
          <w:rFonts w:hint="eastAsia" w:ascii="宋体" w:hAnsi="宋体" w:eastAsia="宋体" w:cs="宋体"/>
          <w:bCs/>
          <w:sz w:val="24"/>
          <w:szCs w:val="24"/>
        </w:rPr>
      </w:pPr>
      <w:r>
        <w:rPr>
          <w:rFonts w:hint="eastAsia" w:ascii="宋体" w:hAnsi="宋体" w:cs="宋体"/>
          <w:bCs/>
          <w:sz w:val="24"/>
          <w:szCs w:val="24"/>
          <w:lang w:val="en-US" w:eastAsia="zh-CN"/>
        </w:rPr>
        <w:t xml:space="preserve">12</w:t>
      </w:r>
      <w:r>
        <w:rPr>
          <w:rFonts w:hint="eastAsia" w:ascii="宋体" w:hAnsi="宋体" w:eastAsia="宋体" w:cs="宋体"/>
          <w:bCs/>
          <w:sz w:val="24"/>
          <w:szCs w:val="24"/>
        </w:rPr>
        <w:t xml:space="preserve">、乙方对招投标文件中承诺函所承诺的内容未按约定提供，甲方有权终止合同，并要求乙方支付本合同总金额【30】%的违约金。</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十、合同生效及其它：</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（一）本合同在双方签字盖章后生效。</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十一、合同的解除和转让：</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（一）除《政府采购法》第49条、第50条规定的情形及本合同约定的情形外，本合同签订后，甲乙双方不得擅自变更、中止或终止本合同。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（二）有下列情形之一，合同一方可以解除合同：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1、因不可抗力致使不能实现合同目的，未受不可抗力影响的一方有权解除合同；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2、因合同一方违约导致合同不能履行，另一方有权解除合同。</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（三）有权解除合同的一方，应当在违约事实或不可抗力发生之后一年内书面通知对方提出解除合同，合同在书面通知到达对方时解除。</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（四）合同的部分和全部都不得转让。</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十二、其它：</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（一）乙方除应做好服务人员的安全教育外，还应为服务人员提供必要的劳动保护条件，一切安全责任事故均由乙方负责；</w:t>
      </w:r>
      <w:r/>
    </w:p>
    <w:p>
      <w:pPr>
        <w:ind w:left="0" w:firstLine="420"/>
        <w:spacing w:line="5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（二）本合同未尽之处双方协商解决；如协商不成，双方同意由一方向甲方所在地人民法院提起诉讼。</w:t>
      </w:r>
      <w:bookmarkStart w:id="174" w:name="OLE_LINK73"/>
      <w:r/>
      <w:bookmarkStart w:id="175" w:name="OLE_LINK170"/>
      <w:r/>
      <w:bookmarkStart w:id="176" w:name="OLE_LINK264"/>
      <w:r/>
      <w:bookmarkStart w:id="177" w:name="OLE_LINK263"/>
      <w:r>
        <w:rPr>
          <w:rFonts w:hint="eastAsia" w:ascii="宋体" w:hAnsi="宋体" w:eastAsia="宋体" w:cs="宋体"/>
          <w:bCs/>
          <w:sz w:val="24"/>
          <w:szCs w:val="24"/>
        </w:rPr>
        <w:t xml:space="preserve">若</w:t>
      </w:r>
      <w:bookmarkStart w:id="178" w:name="OLE_LINK102"/>
      <w:r/>
      <w:bookmarkStart w:id="179" w:name="OLE_LINK103"/>
      <w:r>
        <w:rPr>
          <w:rFonts w:hint="eastAsia" w:ascii="宋体" w:hAnsi="宋体" w:eastAsia="宋体" w:cs="宋体"/>
          <w:bCs/>
          <w:sz w:val="24"/>
          <w:szCs w:val="24"/>
        </w:rPr>
        <w:t xml:space="preserve">由于乙方违约或乙方追究甲方违约不成立的而产生纠纷的，甲方为处理纠纷产生的费用由乙方承担，该费用包括但不限于保全费、诉讼费、鉴定费、律师费、差旅费等</w:t>
      </w:r>
      <w:bookmarkEnd w:id="174"/>
      <w:r/>
      <w:bookmarkEnd w:id="175"/>
      <w:r/>
      <w:bookmarkEnd w:id="176"/>
      <w:r/>
      <w:bookmarkEnd w:id="177"/>
      <w:r/>
      <w:bookmarkEnd w:id="178"/>
      <w:r/>
      <w:bookmarkEnd w:id="179"/>
      <w:r>
        <w:rPr>
          <w:rFonts w:hint="eastAsia" w:ascii="宋体" w:hAnsi="宋体" w:eastAsia="宋体" w:cs="宋体"/>
          <w:bCs/>
          <w:sz w:val="24"/>
          <w:szCs w:val="24"/>
        </w:rPr>
        <w:t xml:space="preserve">。</w:t>
      </w:r>
      <w:r/>
    </w:p>
    <w:p>
      <w:pPr>
        <w:ind w:left="0" w:firstLine="422"/>
        <w:spacing w:line="5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十三、附则：</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rPr>
        <w:t xml:space="preserve">合同份数：本合同一式【</w:t>
      </w:r>
      <w:r>
        <w:rPr>
          <w:rFonts w:hint="eastAsia" w:ascii="宋体" w:hAnsi="宋体" w:cs="宋体"/>
          <w:sz w:val="24"/>
          <w:szCs w:val="24"/>
          <w:lang w:val="en-US" w:eastAsia="zh-CN"/>
        </w:rPr>
        <w:t xml:space="preserve">捌</w:t>
      </w:r>
      <w:r>
        <w:rPr>
          <w:rFonts w:hint="eastAsia" w:ascii="宋体" w:hAnsi="宋体" w:eastAsia="宋体" w:cs="宋体"/>
          <w:sz w:val="24"/>
          <w:szCs w:val="24"/>
        </w:rPr>
        <w:t xml:space="preserve">】份，甲方执【</w:t>
      </w:r>
      <w:r>
        <w:rPr>
          <w:rFonts w:hint="eastAsia" w:ascii="宋体" w:hAnsi="宋体" w:cs="宋体"/>
          <w:sz w:val="24"/>
          <w:szCs w:val="24"/>
          <w:lang w:val="en-US" w:eastAsia="zh-CN"/>
        </w:rPr>
        <w:t xml:space="preserve">肆</w:t>
      </w:r>
      <w:r>
        <w:rPr>
          <w:rFonts w:hint="eastAsia" w:ascii="宋体" w:hAnsi="宋体" w:eastAsia="宋体" w:cs="宋体"/>
          <w:sz w:val="24"/>
          <w:szCs w:val="24"/>
        </w:rPr>
        <w:t xml:space="preserve">】份，乙方执【</w:t>
      </w:r>
      <w:r>
        <w:rPr>
          <w:rFonts w:hint="eastAsia" w:ascii="宋体" w:hAnsi="宋体" w:cs="宋体"/>
          <w:sz w:val="24"/>
          <w:szCs w:val="24"/>
          <w:lang w:val="en-US" w:eastAsia="zh-CN"/>
        </w:rPr>
        <w:t xml:space="preserve">肆</w:t>
      </w:r>
      <w:r>
        <w:rPr>
          <w:rFonts w:hint="eastAsia" w:ascii="宋体" w:hAnsi="宋体" w:eastAsia="宋体" w:cs="宋体"/>
          <w:sz w:val="24"/>
          <w:szCs w:val="24"/>
        </w:rPr>
        <w:t xml:space="preserve">】份，各份合同具有同等法律效力。</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（二）本合同未尽事宜应按《中华人民共和国民法典》《中华人民共和国政府采购法》</w:t>
      </w:r>
      <w:bookmarkStart w:id="180" w:name="_Hlk32483171"/>
      <w:r>
        <w:rPr>
          <w:rFonts w:hint="eastAsia" w:ascii="宋体" w:hAnsi="宋体" w:eastAsia="宋体" w:cs="宋体"/>
          <w:sz w:val="24"/>
          <w:szCs w:val="24"/>
        </w:rPr>
        <w:t xml:space="preserve">以及其它法律、法规</w:t>
      </w:r>
      <w:bookmarkEnd w:id="180"/>
      <w:r>
        <w:rPr>
          <w:rFonts w:hint="eastAsia" w:ascii="宋体" w:hAnsi="宋体" w:eastAsia="宋体" w:cs="宋体"/>
          <w:sz w:val="24"/>
          <w:szCs w:val="24"/>
        </w:rPr>
        <w:t xml:space="preserve">之规定解释，在执行过程中甲乙双方应在不违背本合同和采购文件的原则下协商解决，协商结果以书面形式盖章记录，作为本合同的附件，与本合同具有同等效力，但须提交采购代理机构壹份备存。</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（三）本合同首部所载明的双方地址为甲乙双方认可的相关文件、法律文书送达地址，任何一方如更换通信地址应于3日内书面通知另一方，未通知的自行承担送达不能等不利后果。</w:t>
      </w:r>
      <w:r/>
    </w:p>
    <w:p>
      <w:pPr>
        <w:ind w:left="0" w:firstLine="420"/>
        <w:spacing w:line="56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（以下无正文）</w:t>
      </w:r>
      <w:r/>
    </w:p>
    <w:p>
      <w:pPr>
        <w:ind w:left="0" w:firstLine="42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bl>
      <w:tblPr>
        <w:tblStyle w:val="868"/>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甲方</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盖章</w:t>
            </w:r>
            <w:r>
              <w:rPr>
                <w:rFonts w:hint="eastAsia" w:ascii="宋体" w:hAnsi="宋体" w:cs="宋体"/>
                <w:sz w:val="24"/>
                <w:szCs w:val="24"/>
                <w:u w:val="none"/>
                <w:lang w:eastAsia="zh-CN"/>
              </w:rPr>
              <w:t xml:space="preserve">）</w:t>
            </w:r>
            <w:r>
              <w:rPr>
                <w:rFonts w:hint="eastAsia" w:ascii="宋体" w:hAnsi="宋体" w:cs="宋体"/>
                <w:sz w:val="24"/>
                <w:szCs w:val="24"/>
                <w:u w:val="none"/>
              </w:rPr>
              <w:t xml:space="preserve">：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乙方</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盖章</w:t>
            </w:r>
            <w:r>
              <w:rPr>
                <w:rFonts w:hint="eastAsia" w:ascii="宋体" w:hAnsi="宋体" w:cs="宋体"/>
                <w:sz w:val="24"/>
                <w:szCs w:val="24"/>
                <w:u w:val="none"/>
                <w:lang w:eastAsia="zh-CN"/>
              </w:rPr>
              <w:t xml:space="preserve">）</w:t>
            </w:r>
            <w:r>
              <w:rPr>
                <w:rFonts w:hint="eastAsia" w:ascii="宋体" w:hAnsi="宋体" w:cs="宋体"/>
                <w:sz w:val="24"/>
                <w:szCs w:val="24"/>
                <w:u w:val="none"/>
              </w:rPr>
              <w:t xml:space="preserve">：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地址：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地址：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法定代表人</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或</w:t>
            </w:r>
            <w:r>
              <w:rPr>
                <w:rFonts w:hint="eastAsia" w:ascii="宋体" w:hAnsi="宋体" w:cs="宋体"/>
                <w:sz w:val="24"/>
                <w:szCs w:val="24"/>
                <w:u w:val="none"/>
                <w:lang w:eastAsia="zh-CN"/>
              </w:rPr>
              <w:t xml:space="preserve">）</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eastAsia="宋体" w:cs="宋体"/>
                <w:sz w:val="24"/>
                <w:szCs w:val="24"/>
                <w:u w:val="none"/>
                <w:lang w:eastAsia="zh-CN"/>
              </w:rPr>
            </w:pPr>
            <w:r>
              <w:rPr>
                <w:rFonts w:hint="eastAsia" w:ascii="宋体" w:hAnsi="宋体" w:cs="宋体"/>
                <w:sz w:val="24"/>
                <w:szCs w:val="24"/>
                <w:u w:val="none"/>
              </w:rPr>
              <w:t xml:space="preserve">法定代表人</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或</w:t>
            </w:r>
            <w:r>
              <w:rPr>
                <w:rFonts w:hint="eastAsia" w:ascii="宋体" w:hAnsi="宋体" w:cs="宋体"/>
                <w:sz w:val="24"/>
                <w:szCs w:val="24"/>
                <w:u w:val="none"/>
                <w:lang w:eastAsia="zh-CN"/>
              </w:rPr>
              <w:t xml:space="preserve">）</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委托代理人：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委托代理人：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电话：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电话：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传真：                       </w:t>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u w:val="none"/>
              </w:rPr>
            </w:pPr>
            <w:r>
              <w:rPr>
                <w:rFonts w:hint="eastAsia" w:ascii="宋体" w:hAnsi="宋体" w:cs="宋体"/>
                <w:sz w:val="24"/>
                <w:szCs w:val="24"/>
                <w:u w:val="none"/>
              </w:rPr>
              <w:t xml:space="preserve">传真：                       </w:t>
            </w:r>
            <w:r/>
          </w:p>
        </w:tc>
      </w:tr>
      <w:tr>
        <w:trPr>
          <w:trHeight w:val="680"/>
        </w:trPr>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tc>
        <w:tc>
          <w:tcPr>
            <w:tcW w:w="4264" w:type="dxa"/>
            <w:vAlign w:val="top"/>
            <w:textDirection w:val="lrTb"/>
            <w:noWrap w:val="false"/>
          </w:tcPr>
          <w:p>
            <w:pPr>
              <w:ind w:left="0"/>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签订日期：      年 </w:t>
            </w:r>
            <w:r>
              <w:rPr>
                <w:rFonts w:hint="eastAsia" w:ascii="宋体" w:hAnsi="宋体" w:cs="宋体"/>
                <w:sz w:val="24"/>
                <w:szCs w:val="24"/>
                <w:lang w:val="en-US" w:eastAsia="zh-CN"/>
              </w:rPr>
              <w:t xml:space="preserve">  </w:t>
            </w:r>
            <w:r>
              <w:rPr>
                <w:rFonts w:hint="eastAsia" w:ascii="宋体" w:hAnsi="宋体" w:cs="宋体"/>
                <w:sz w:val="24"/>
                <w:szCs w:val="24"/>
              </w:rPr>
              <w:t xml:space="preserve"> 月</w:t>
            </w:r>
            <w:r>
              <w:rPr>
                <w:rFonts w:hint="eastAsia" w:ascii="宋体" w:hAnsi="宋体" w:cs="宋体"/>
                <w:sz w:val="24"/>
                <w:szCs w:val="24"/>
                <w:lang w:val="en-US" w:eastAsia="zh-CN"/>
              </w:rPr>
              <w:t xml:space="preserve">  </w:t>
            </w:r>
            <w:r>
              <w:rPr>
                <w:rFonts w:hint="eastAsia" w:ascii="宋体" w:hAnsi="宋体" w:cs="宋体"/>
                <w:sz w:val="24"/>
                <w:szCs w:val="24"/>
              </w:rPr>
              <w:t xml:space="preserve">  日</w:t>
            </w:r>
            <w:r/>
          </w:p>
        </w:tc>
      </w:tr>
    </w:tbl>
    <w:p>
      <w:pPr>
        <w:rPr>
          <w:rFonts w:hint="eastAsia" w:ascii="宋体" w:hAnsi="宋体" w:eastAsia="宋体" w:cs="宋体"/>
          <w:sz w:val="24"/>
          <w:szCs w:val="24"/>
        </w:rPr>
      </w:pPr>
      <w:r>
        <w:rPr>
          <w:rFonts w:hint="eastAsia" w:ascii="宋体" w:hAnsi="宋体" w:eastAsia="宋体" w:cs="宋体"/>
          <w:sz w:val="24"/>
          <w:szCs w:val="24"/>
        </w:rPr>
      </w:r>
      <w:r/>
    </w:p>
    <w:p>
      <w:r/>
      <w:r/>
    </w:p>
    <w:p>
      <w:pPr>
        <w:pStyle w:val="84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4"/>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shd w:val="clear" w:color="auto"/>
        <w:rPr>
          <w:highlight w:val="none"/>
        </w:rPr>
      </w:pPr>
      <w:r>
        <w:rPr>
          <w:highlight w:val="none"/>
        </w:rPr>
        <w:br w:type="page" w:clear="all"/>
      </w:r>
      <w:r/>
    </w:p>
    <w:p>
      <w:pPr>
        <w:pStyle w:val="844"/>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61"/>
      <w:r/>
      <w:bookmarkEnd w:id="162"/>
      <w:r/>
      <w:bookmarkEnd w:id="163"/>
      <w:r/>
      <w:bookmarkEnd w:id="164"/>
      <w:r/>
      <w:bookmarkEnd w:id="165"/>
      <w:r/>
      <w:r/>
    </w:p>
    <w:p>
      <w:pPr>
        <w:pStyle w:val="844"/>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pPr>
      <w:r/>
      <w:bookmarkStart w:id="181" w:name="_Toc26554093"/>
      <w:r/>
      <w:bookmarkStart w:id="182"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81"/>
      <w:r/>
      <w:bookmarkEnd w:id="182"/>
      <w:r/>
      <w:r/>
    </w:p>
    <w:p>
      <w:pPr>
        <w:pStyle w:val="844"/>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采购内容：</w:t>
      </w:r>
      <w:r/>
    </w:p>
    <w:tbl>
      <w:tblPr>
        <w:tblStyle w:val="645"/>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4561"/>
        <w:gridCol w:w="1134"/>
        <w:gridCol w:w="992"/>
        <w:gridCol w:w="2101"/>
      </w:tblGrid>
      <w:tr>
        <w:trPr>
          <w:jc w:val="center"/>
          <w:trHeight w:val="731"/>
        </w:trPr>
        <w:tc>
          <w:tcPr>
            <w:tcW w:w="108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561"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设备名称</w:t>
            </w:r>
            <w:r/>
          </w:p>
        </w:tc>
        <w:tc>
          <w:tcPr>
            <w:tcW w:w="113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2101"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731"/>
        </w:trPr>
        <w:tc>
          <w:tcPr>
            <w:shd w:val="clear" w:color="auto" w:fill="auto"/>
            <w:tcW w:w="10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W w:w="4561" w:type="dxa"/>
            <w:vAlign w:val="center"/>
            <w:textDirection w:val="lrTb"/>
            <w:noWrap w:val="false"/>
          </w:tcPr>
          <w:p>
            <w:pPr>
              <w:jc w:val="center"/>
              <w:keepLines/>
              <w:keepNex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机器人系统集成平台</w:t>
            </w:r>
            <w:r/>
          </w:p>
        </w:tc>
        <w:tc>
          <w:tcPr>
            <w:tcW w:w="11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01" w:type="dxa"/>
            <w:vAlign w:val="center"/>
            <w:textDirection w:val="lrTb"/>
            <w:noWrap w:val="false"/>
          </w:tcPr>
          <w:p>
            <w:pPr>
              <w:jc w:val="center"/>
              <w:keepLines/>
              <w:keepNex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核心产品</w:t>
            </w:r>
            <w:r/>
          </w:p>
        </w:tc>
      </w:tr>
      <w:tr>
        <w:trPr>
          <w:jc w:val="center"/>
          <w:trHeight w:val="479"/>
        </w:trPr>
        <w:tc>
          <w:tcPr>
            <w:shd w:val="clear" w:color="auto" w:fill="auto"/>
            <w:tcW w:w="10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auto" w:fill="auto"/>
            <w:tcW w:w="45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工业机器人供料罐装工作站</w:t>
            </w:r>
            <w:r/>
          </w:p>
        </w:tc>
        <w:tc>
          <w:tcPr>
            <w:tcW w:w="11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shd w:val="clear" w:color="auto" w:fill="auto"/>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9"/>
        </w:trPr>
        <w:tc>
          <w:tcPr>
            <w:shd w:val="clear" w:color="auto" w:fill="auto"/>
            <w:tcW w:w="10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auto" w:fill="auto"/>
            <w:tcW w:w="4561" w:type="dxa"/>
            <w:vAlign w:val="center"/>
            <w:textDirection w:val="lrTb"/>
            <w:noWrap w:val="false"/>
          </w:tcPr>
          <w:p>
            <w:pPr>
              <w:pStyle w:val="636"/>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复合机器人</w:t>
            </w:r>
            <w:r/>
          </w:p>
        </w:tc>
        <w:tc>
          <w:tcPr>
            <w:tcW w:w="11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shd w:val="clear" w:color="auto" w:fill="auto"/>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ffffff" w:fill="ffffff"/>
            <w:tcW w:w="2101"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44"/>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注：本项目核心产品为</w:t>
      </w:r>
      <w:r>
        <w:rPr>
          <w:rFonts w:hint="eastAsia" w:ascii="宋体" w:hAnsi="宋体" w:eastAsia="宋体" w:cs="宋体"/>
          <w:b/>
          <w:bCs/>
          <w:color w:val="000000" w:themeColor="text1"/>
          <w:sz w:val="24"/>
          <w:szCs w:val="24"/>
          <w:highlight w:val="none"/>
          <w14:textFill>
            <w14:solidFill>
              <w14:schemeClr w14:val="tx1"/>
            </w14:solidFill>
          </w14:textFill>
        </w:rPr>
        <w:t xml:space="preserve">机器人系统集成平台</w:t>
      </w:r>
      <w:r>
        <w:rPr>
          <w:rFonts w:hint="eastAsia" w:ascii="宋体" w:hAnsi="宋体" w:eastAsia="宋体" w:cs="宋体"/>
          <w:b/>
          <w:bCs/>
          <w:color w:val="000000"/>
          <w:sz w:val="24"/>
          <w:szCs w:val="24"/>
          <w:highlight w:val="none"/>
        </w:rPr>
        <w:t xml:space="preserve">。</w:t>
      </w:r>
      <w:r/>
    </w:p>
    <w:p>
      <w:pPr>
        <w:pStyle w:val="844"/>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二、技术参数要求：</w:t>
      </w:r>
      <w:r/>
    </w:p>
    <w:tbl>
      <w:tblPr>
        <w:tblStyle w:val="645"/>
        <w:tblW w:w="9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34"/>
        <w:gridCol w:w="6934"/>
        <w:gridCol w:w="701"/>
        <w:gridCol w:w="756"/>
      </w:tblGrid>
      <w:tr>
        <w:trPr>
          <w:jc w:val="center"/>
          <w:trHeight w:val="0"/>
        </w:trPr>
        <w:tc>
          <w:tcPr>
            <w:tcW w:w="60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93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设备名称</w:t>
            </w:r>
            <w:r/>
          </w:p>
        </w:tc>
        <w:tc>
          <w:tcPr>
            <w:tcW w:w="693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详细参数</w:t>
            </w:r>
            <w:r/>
          </w:p>
        </w:tc>
        <w:tc>
          <w:tcPr>
            <w:tcW w:w="701"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75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r>
      <w:tr>
        <w:trPr>
          <w:jc w:val="center"/>
          <w:trHeight w:val="90"/>
        </w:trPr>
        <w:tc>
          <w:tcPr>
            <w:shd w:val="clear" w:color="auto" w:fill="auto"/>
            <w:tcW w:w="60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W w:w="934" w:type="dxa"/>
            <w:vAlign w:val="center"/>
            <w:textDirection w:val="lrTb"/>
            <w:noWrap w:val="false"/>
          </w:tcPr>
          <w:p>
            <w:pPr>
              <w:jc w:val="center"/>
              <w:keepLines/>
              <w:keepNex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机器人系统集成平台</w:t>
            </w:r>
            <w:r/>
          </w:p>
        </w:tc>
        <w:tc>
          <w:tcPr>
            <w:shd w:val="clear" w:color="auto" w:fill="ffffff"/>
            <w:tcW w:w="6934" w:type="dxa"/>
            <w:textDirection w:val="lrTb"/>
            <w:noWrap w:val="false"/>
          </w:tcPr>
          <w:p>
            <w:pPr>
              <w:jc w:val="left"/>
              <w:widowControl/>
              <w:tabs>
                <w:tab w:val="left" w:pos="55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一、总体技术要求</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产品主要由工业机器人、基础平台、机器人快换夹具组、基础操作考核模块，机加工自动化任务单元、机加工焊接任务单元、数字键盘装配任务单元、电控及通讯系统、气动系统、安全防护、电脑桌椅、工具包等组成。可以培养学生掌握工业机器人的操作、调试、视觉应用，PLC 原理与编程、传感器技术、网络通讯技术等，可进行工业机器人工具坐标标定、平面及曲面轨迹编程与操作、装配、搬运、码垛、打磨、模拟机加工、模拟焊接、工业视觉分拣、工业视觉检测等贴近工业现场应用技能培训考核，也可进行机器人离线编程、仿真的技能考核。</w:t>
            </w:r>
            <w:r/>
          </w:p>
          <w:p>
            <w:pPr>
              <w:jc w:val="left"/>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◆1.2.产品需采用实训平台加实训功能模块的组合式结构，需提供工作站的实际图片或3D效果图及各功能模块效果图。</w:t>
            </w:r>
            <w:r/>
          </w:p>
          <w:p>
            <w:pPr>
              <w:jc w:val="left"/>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★1.3教学PPT及视频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需提供《工业机器人系统运维员》《工业机器人系统操作员》国家职业技能标准，工业机器人操作与运维职业等级标准初、中、高级对应的工作领域的工作任务的教学PPT课件及对应的教学视频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应至少包含：</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1）工业机器人操作安全保护讲解PPT及视频；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2）工业机器人安装讲解PPT及视频；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3）工业机器人操作与示教编程讲解PPT及视频；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4）工业机器人数据备份及恢复讲解PPT及视频；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5）工业机器人系统维护讲解PPT及视频；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6）工业机器人安装讲解PPT及视频；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7）工业机器人校对与调试讲解PPT及视频；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8）工业机器人操作与编程讲解PPT及视频；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9）工业机器人系统故障诊断及处理讲解PPT及视频。</w:t>
            </w:r>
            <w:r/>
          </w:p>
          <w:p>
            <w:pPr>
              <w:pStyle w:val="653"/>
              <w:rPr>
                <w:rFonts w:hint="eastAsia" w:ascii="宋体" w:hAnsi="宋体" w:eastAsia="仿宋_GB2312"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需提供满足上述要求界面截图</w:t>
            </w:r>
            <w:r>
              <w:rPr>
                <w:rFonts w:hint="eastAsia"/>
                <w:b/>
                <w:bCs/>
                <w:highlight w:val="none"/>
                <w:lang w:eastAsia="zh-CN"/>
              </w:rPr>
              <w:t xml:space="preserve">。</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1.4快换座</w:t>
            </w:r>
            <w:r/>
          </w:p>
          <w:p>
            <w:pPr>
              <w:ind w:firstLine="48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所有集成训练模块均采用槽板式快速装卸座进行安装，能够横向或纵向的固定在同一个实验台铝型材台面上，保证在不使用工具的情况下，仅通过简单的操作，即可横向或纵向装、卸各模块。</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二、工业机器人系统集成平台配置要求：</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.六轴工业机器人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需满足以下要求：</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ff"/>
                <w:sz w:val="24"/>
                <w:szCs w:val="24"/>
                <w:highlight w:val="none"/>
              </w:rPr>
              <w:t xml:space="preserve">★</w:t>
            </w:r>
            <w:r>
              <w:rPr>
                <w:rFonts w:hint="eastAsia" w:ascii="宋体" w:hAnsi="宋体" w:eastAsia="宋体" w:cs="宋体"/>
                <w:b/>
                <w:color w:val="0000ff"/>
                <w:sz w:val="24"/>
                <w:szCs w:val="24"/>
                <w:highlight w:val="none"/>
              </w:rPr>
              <w:t xml:space="preserve">1.1工业机器人参数：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工业级机器人；并为以后扩展提供接口，机器人技术参数如下：</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1）6自由度；</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2）AC全伺服电机驱动；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3）负载能力≥7kg；</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4）重复定位精度≤±0.0</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5）每轴运动范围及最高速度：</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J1范围：≥340°(最高速度：≥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360</w:t>
            </w:r>
            <w:r>
              <w:rPr>
                <w:rFonts w:hint="eastAsia" w:ascii="宋体" w:hAnsi="宋体" w:eastAsia="宋体" w:cs="宋体"/>
                <w:color w:val="000000" w:themeColor="text1"/>
                <w:sz w:val="24"/>
                <w:szCs w:val="24"/>
                <w:highlight w:val="none"/>
                <w14:textFill>
                  <w14:solidFill>
                    <w14:schemeClr w14:val="tx1"/>
                  </w14:solidFill>
                </w14:textFill>
              </w:rPr>
              <w:t xml:space="preserve">°/s）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J2范围：≥210°(最高速度：≥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J3范围：≥260°(最高速度：≥3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J4范围：≥380°(最高速度：≥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J5范围：≥250°(最高速度：≥4</w:t>
            </w:r>
            <w:r>
              <w:rPr>
                <w:rFonts w:hint="eastAsia" w:ascii="宋体" w:hAnsi="宋体" w:cs="宋体"/>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4"/>
                <w:szCs w:val="24"/>
                <w:highlight w:val="none"/>
                <w14:textFill>
                  <w14:solidFill>
                    <w14:schemeClr w14:val="tx1"/>
                  </w14:solidFill>
                </w14:textFill>
              </w:rPr>
              <w:t xml:space="preserve">°/s)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J6范围：≥720°(最高速度：≥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84</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6）最大展开半径：≥700mm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1.2控制器：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含控制柜</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1）输入电源设备容量：≥1.2kVA；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2）CPU DRAM容量：≥1G；</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3）内存卡容量FROM/SRAM：≥128M+1M；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4）通讯模块要求：不少于Modbus TCP、EtherNet/IP、TCP/IP；</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5）控制器需集成视觉通讯及调试软件；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7）应具有位置/速度检查功能；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8）USB类型要求： USB2.0（控制器）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9）保护等级要求：IP54；</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10）控制柜组成：包括电源供给单元、安全保护回路、伺服放大器、输入/输出模块、主控单元、急停电路板；</w:t>
            </w:r>
            <w:r/>
          </w:p>
          <w:p>
            <w:pPr>
              <w:jc w:val="left"/>
              <w:widowControl/>
              <w:rPr>
                <w:rFonts w:hint="eastAsia" w:ascii="宋体" w:hAnsi="宋体" w:eastAsia="宋体" w:cs="宋体"/>
                <w:b/>
                <w:color w:val="0000ff"/>
                <w:sz w:val="24"/>
                <w:szCs w:val="24"/>
                <w:highlight w:val="none"/>
              </w:rPr>
            </w:pPr>
            <w:r>
              <w:rPr>
                <w:rFonts w:hint="eastAsia" w:ascii="宋体" w:hAnsi="宋体" w:eastAsia="宋体" w:cs="宋体"/>
                <w:color w:val="0000ff"/>
                <w:sz w:val="24"/>
                <w:szCs w:val="24"/>
                <w:highlight w:val="none"/>
              </w:rPr>
              <w:t xml:space="preserve">★ </w:t>
            </w:r>
            <w:r>
              <w:rPr>
                <w:rFonts w:hint="eastAsia" w:ascii="宋体" w:hAnsi="宋体" w:eastAsia="宋体" w:cs="宋体"/>
                <w:b/>
                <w:color w:val="0000ff"/>
                <w:sz w:val="24"/>
                <w:szCs w:val="24"/>
                <w:highlight w:val="none"/>
              </w:rPr>
              <w:t xml:space="preserve">1.3示教器技术参数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（1）彩色示教器，可进行图形化的生产监控；</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（2）示教器可直接进行视觉参数设置及调试作业</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（3）界面含图形化机器人模型、报警信息等必要信息； </w:t>
            </w:r>
            <w:r/>
          </w:p>
          <w:p>
            <w:pPr>
              <w:jc w:val="left"/>
              <w:widowControl/>
              <w:rPr>
                <w:rFonts w:hint="eastAsia"/>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（4）USB 类型：USB3.0。</w:t>
            </w:r>
            <w:r/>
          </w:p>
          <w:p>
            <w:pPr>
              <w:pStyle w:val="652"/>
              <w:rPr>
                <w:rFonts w:hint="eastAsia" w:ascii="宋体" w:hAnsi="宋体" w:eastAsia="宋体" w:cs="宋体"/>
                <w:b/>
                <w:bCs/>
                <w:color w:val="0000ff"/>
                <w:sz w:val="24"/>
                <w:szCs w:val="24"/>
                <w:highlight w:val="none"/>
              </w:rPr>
            </w:pPr>
            <w:r>
              <w:rPr>
                <w:rFonts w:hint="eastAsia" w:ascii="宋体" w:hAnsi="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为保证机器人精度及质量可靠度，需提供满足上述要求的机器人本体生产厂商针对本项目的授权书</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授权书可在中标后</w:t>
            </w:r>
            <w:r>
              <w:rPr>
                <w:rFonts w:hint="eastAsia" w:ascii="宋体" w:hAnsi="宋体" w:cs="宋体"/>
                <w:b/>
                <w:bCs/>
                <w:color w:val="0000ff"/>
                <w:sz w:val="24"/>
                <w:szCs w:val="24"/>
                <w:highlight w:val="none"/>
                <w:lang w:val="en-US" w:eastAsia="zh-CN"/>
              </w:rPr>
              <w:t xml:space="preserve">合同签定前</w:t>
            </w:r>
            <w:r>
              <w:rPr>
                <w:rFonts w:hint="eastAsia" w:ascii="宋体" w:hAnsi="宋体" w:eastAsia="宋体" w:cs="宋体"/>
                <w:b/>
                <w:bCs/>
                <w:color w:val="0000ff"/>
                <w:sz w:val="24"/>
                <w:szCs w:val="24"/>
                <w:highlight w:val="none"/>
                <w:lang w:val="en-US" w:eastAsia="zh-CN"/>
              </w:rPr>
              <w:t xml:space="preserve">提供，投标时提供承诺函</w:t>
            </w:r>
            <w:r>
              <w:rPr>
                <w:rFonts w:hint="eastAsia" w:ascii="宋体" w:hAnsi="宋体" w:cs="宋体"/>
                <w:b/>
                <w:bCs/>
                <w:color w:val="0000ff"/>
                <w:sz w:val="24"/>
                <w:szCs w:val="24"/>
                <w:highlight w:val="none"/>
                <w:lang w:val="en-US" w:eastAsia="zh-CN"/>
              </w:rPr>
              <w:t xml:space="preserve">，格式详见附件格式一</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rPr>
              <w:t xml:space="preserve">。</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1.4工业智能相机视觉系统1</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要求支持机器人板卡直接控制，由工业相机、摄像头、安装支架等组成。应能够完成装配是否成功的识别及定位工件等功能。应具有形状识别和颜色识别。具体参数要求如下：</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1）工业相机：黑白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2）相机像素：≥130万</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3）镜头焦距mm：≤8</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4）处理相应时间：≤0.2s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5）视觉精度：≤0.3mm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6）可使用机器人示教器直接进行视觉参数设置及调试作业</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7）点阵板坐标系除示教方式设定外，还需具备视觉系统自动设定的软件功能，从而简化视觉标定操作</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8）通讯电缆：同轴电缆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9）应可调节视觉安装定位尺寸。</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10）应包括机器人视觉配套插件包：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（1）可通过示教器无需电脑即可直接对视觉进行编辑与调整；</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（2）视觉软件为机器人功能插件，集成于机器人控制系统中；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（3）可以实现相机标定、视觉定位、视觉分拣、NG/OK检测等功能；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（4）外部视觉光源信号集成于视觉软件中进行控制；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（5）视觉标定方法；</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（6）视觉补正方法。</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11）工业视觉标定板：点阵标定板，应具有7.5mm、11.5mm、15mm、22.5mm 、30mm五种规格。</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1.5工业智能相机视觉系统2（彩色）</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工业相机像素不低于320万，具有总线通信功能，至少包含TCP/IP、MODBUS-TCP、UDP三种通讯协议，能够与PLC通讯，可检测物品形状、颜色、缺陷、OCR文字识别。</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镜头：约25mm焦距，不低于400万像素。</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2.工业机器人基础平台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工业铝型材结构，总尺寸不小于 1740×1020×1950mm。主要承重采用不小于60mm优质工业铝型材，安装面板厚度不小于30mm铝合金型材,带有25mm的槽间隙，所有基础操作考核模块均可快速在此通用面板上横向或纵向安装，节约实训时间。</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基础平台底部安装有承重脚轮</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支撑脚杯，</w:t>
            </w:r>
            <w:r>
              <w:rPr>
                <w:rFonts w:hint="eastAsia" w:ascii="宋体" w:hAnsi="宋体" w:cs="宋体"/>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color w:val="000000" w:themeColor="text1"/>
                <w:sz w:val="24"/>
                <w:szCs w:val="24"/>
                <w:highlight w:val="none"/>
                <w14:textFill>
                  <w14:solidFill>
                    <w14:schemeClr w14:val="tx1"/>
                  </w14:solidFill>
                </w14:textFill>
              </w:rPr>
              <w:t xml:space="preserve">移动</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调整平台位置。</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3.机器人快换夹具组</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本体需配套专门的工业机器人快换夹具。机器人快换夹具最大负载≥6Kg（快换连接盘不少于一公四母，气路不少于4路），机器人快换夹具包括气手指夹具1、气手指夹具2、吸盘夹具、焊枪夹具、标定针、绘图笔等至少四种适用于不同操作对象的夹具。</w:t>
            </w:r>
            <w:r/>
          </w:p>
          <w:p>
            <w:pPr>
              <w:jc w:val="left"/>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★3.1焊枪夹具</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要求焊枪夹具由快换连接盘、焊枪头、指示灯等组成。枪头与焊缝接时，指示灯亮，同时控制器会收到焊接反馈信号。</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4基础操作考核模块</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4.1描图轨迹模块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板，幅面描图区，雕刻有圆形、方形、矩形、曲线等不同规则的图案和TCP标定工装。机器人以笔形绘图夹具描绘图形。主要培训考核学生对机器人基本的TCP标定、点示教，直线、曲线、圆弧运动等动作的编程与操作。</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4.2曲面绘图模块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模块主要由支腿、曲面绘图板等组成，支腿可调角度，曲面绘图板为一体两面，一面为曲面轨迹，图案有阿基米德线、菱形、三角形等，主要功能是训练复杂曲面轨迹编程，一面为绘图区，绘图区两侧有纸夹，可以更换纸张。机器人以笔形绘图夹具描绘图形，训练对机器人基本的点示教，直线、曲线运动足迹的掌握，学习点的定位及机器人运动路线选择优化。</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4.3零件码垛模块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物料块有圆柱形和正方形两种，配置吸盘夹具，主要训练机器人搬运指令及码垛指令。</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4.4平面原料库模块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铝合金支撑架、面板、各种大小三角形、矩形、平行四边形等零部件（红黑两种颜色）组成。配合工业机器人完成模拟切割、搬运、拼图等训练内容，同时也可做为视觉检测对象用于机器视觉相关知识的学习与训练。</w:t>
            </w:r>
            <w:r/>
          </w:p>
          <w:p>
            <w:pPr>
              <w:jc w:val="left"/>
              <w:widowControl/>
              <w:rPr>
                <w:rFonts w:hint="eastAsia" w:ascii="宋体" w:hAnsi="宋体" w:eastAsia="宋体" w:cs="宋体"/>
                <w:b/>
                <w:color w:val="0000ff"/>
                <w:sz w:val="24"/>
                <w:szCs w:val="24"/>
                <w:highlight w:val="none"/>
              </w:rPr>
            </w:pPr>
            <w:r>
              <w:rPr>
                <w:rFonts w:hint="eastAsia" w:ascii="宋体" w:hAnsi="宋体" w:eastAsia="宋体" w:cs="宋体"/>
                <w:b/>
                <w:color w:val="0000ff"/>
                <w:sz w:val="24"/>
                <w:szCs w:val="24"/>
                <w:highlight w:val="none"/>
              </w:rPr>
              <w:t xml:space="preserve">▲5.机加工自动化任务单元</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该任务单元需要以机器人机加工自动化</w:t>
            </w:r>
            <w:r>
              <w:rPr>
                <w:rFonts w:hint="eastAsia" w:ascii="宋体" w:hAnsi="宋体" w:eastAsia="宋体" w:cs="宋体"/>
                <w:color w:val="auto"/>
                <w:sz w:val="24"/>
                <w:szCs w:val="24"/>
                <w:highlight w:val="none"/>
              </w:rPr>
              <w:t xml:space="preserve">应用</w:t>
            </w:r>
            <w:r>
              <w:rPr>
                <w:rFonts w:hint="eastAsia" w:ascii="宋体" w:hAnsi="宋体" w:eastAsia="宋体" w:cs="宋体"/>
                <w:b w:val="0"/>
                <w:bCs w:val="0"/>
                <w:color w:val="auto"/>
                <w:sz w:val="24"/>
                <w:szCs w:val="24"/>
                <w:highlight w:val="none"/>
              </w:rPr>
              <w:t xml:space="preserve">技术为核心</w:t>
            </w:r>
            <w:r>
              <w:rPr>
                <w:rFonts w:hint="eastAsia" w:ascii="宋体" w:hAnsi="宋体" w:eastAsia="宋体" w:cs="宋体"/>
                <w:color w:val="auto"/>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实现机器人在机加工自动化行业中1台机器人对应1台机床及周边品的原料分拣、机床上下料、打磨去毛刺、智能装配、智能检测及成品入库等工艺应用。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ff"/>
                <w:sz w:val="24"/>
                <w:szCs w:val="24"/>
                <w:highlight w:val="none"/>
                <w:lang w:val="en-US" w:eastAsia="zh-CN"/>
              </w:rPr>
              <w:t xml:space="preserve">注：</w:t>
            </w:r>
            <w:r>
              <w:rPr>
                <w:rFonts w:hint="eastAsia" w:ascii="宋体" w:hAnsi="宋体" w:eastAsia="宋体" w:cs="宋体"/>
                <w:b/>
                <w:bCs w:val="0"/>
                <w:color w:val="0000ff"/>
                <w:sz w:val="24"/>
                <w:szCs w:val="24"/>
                <w:highlight w:val="none"/>
              </w:rPr>
              <w:t xml:space="preserve">需有流程的详细说明，提供</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lang w:val="en-US" w:eastAsia="zh-CN"/>
              </w:rPr>
              <w:t xml:space="preserve">5.</w:t>
            </w:r>
            <w:r>
              <w:rPr>
                <w:rFonts w:hint="eastAsia" w:ascii="宋体" w:hAnsi="宋体" w:eastAsia="宋体" w:cs="宋体"/>
                <w:b/>
                <w:bCs w:val="0"/>
                <w:color w:val="0000ff"/>
                <w:sz w:val="24"/>
                <w:szCs w:val="24"/>
                <w:highlight w:val="none"/>
              </w:rPr>
              <w:t xml:space="preserve">机加工自动化任务单元</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rPr>
              <w:t xml:space="preserve">系统集成模块与工业机器人相配合动作实物演示视频和配套仿真动画视频同步</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lang w:val="en-US" w:eastAsia="zh-CN"/>
              </w:rPr>
              <w:t xml:space="preserve">提供一个动作环节的样章，</w:t>
            </w:r>
            <w:r>
              <w:rPr>
                <w:rFonts w:ascii="宋体" w:hAnsi="宋体" w:eastAsia="宋体" w:cs="宋体"/>
                <w:b/>
                <w:color w:val="0000ff"/>
                <w:sz w:val="24"/>
              </w:rPr>
              <w:t xml:space="preserve">如打磨去毛刺</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rPr>
              <w:t xml:space="preserve">。</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5.1 圆棒供料托盘模块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尺寸：不小于250×150×30mm（长×宽×高）；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材质：黑色POM；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工位数：不少于10个；</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圆棒工件：需配有RFID芯片。</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5.2自由托盘模块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尺寸：不小于280×150×30mm（长×宽×高）。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材质：黑色POM；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数量：2套</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5.3物料装配模块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尺寸：不小有300×140×30mm（长×宽×高）；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材质：黑色POM；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工位数：不少于10个。</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5.4微动开关检测模块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应主要由铝制安装底座、铝型材基体、微动开关、接线端子、M12插头组成。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进行物料装配合格性的检测。</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5.5模拟数控加工模块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应主要由铝制安装底座、铝型材基体、铝制卡盘安装座、平行开闭形三爪气动卡盘、红色指示灯、绿色指示灯、L型指示灯支架、接线端子、M12插头、磁性开关（2个）、电磁阀等组成。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（1）平行开闭行三爪气动卡盘：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缸径：不小于40mm；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重复精度：不低于±0.01mm；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动作方式：双作用；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开闭行程mm（直径）：不小于8；</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可夹持圆筒形工件。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（2）电磁阀</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使用压力：0.15～0.7 MPa。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（3）磁性开关</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导线引出方向：横方向；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适合负载：DC24V继电器、PLC用；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（4）指示灯</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连续工作寿命：≥30000h；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光亮度：≥100cd/m2。</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（5）汇总端子排、M12插头</w:t>
            </w:r>
            <w:r/>
          </w:p>
          <w:p>
            <w:pPr>
              <w:jc w:val="lef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5.6打磨机模块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应主要由铝制安装底座、铝型材基体、铝制打磨机安装座（角度可调）、黑色POM打磨机固定座等组成。应可调整打磨机安装角度。</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铝型材：不小于30*30*280mm；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铝合金件：厚度不低于10mm，喷砂氧化；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电压：DC24V～36V；</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功率：≥72W；</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转速范围：9000~14500rpm。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5.7立体仓储1模块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应主要由金属安装底座、铝型材基体、圆弧型库架等组成。</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6机加工焊接任务单元</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该任务单元需要以机器人焊接应用技术为核心，实现机器人在焊接自动化行业中1台机器人对应1台机床及周边品的原料分拣、机床上下料、打磨去毛刺、智能装配、智能检测及成品入库等工艺应用。</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6.1皮带输送模块</w:t>
            </w:r>
            <w:r>
              <w:rPr>
                <w:rFonts w:hint="eastAsia" w:ascii="宋体" w:hAnsi="宋体" w:eastAsia="宋体" w:cs="宋体"/>
                <w:b/>
                <w:color w:val="000000" w:themeColor="text1"/>
                <w:sz w:val="24"/>
                <w:szCs w:val="24"/>
                <w:highlight w:val="none"/>
                <w14:textFill>
                  <w14:solidFill>
                    <w14:schemeClr w14:val="tx1"/>
                  </w14:solidFill>
                </w14:textFill>
              </w:rPr>
              <w:tab/>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应主要由直流减速电机、铝制同步轮、同步带、型材支撑柱、传感器、定位夹紧等组成。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主要参数：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（1）直流减速电机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DC：24V；</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转速：0--80rpm。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（2）夹紧定位气缸</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夹持力：≥10N</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重复定位精度≤±0.1mm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行程≥30mm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6.2平面打磨模块</w:t>
            </w:r>
            <w:r>
              <w:rPr>
                <w:rFonts w:hint="eastAsia" w:ascii="宋体" w:hAnsi="宋体" w:eastAsia="宋体" w:cs="宋体"/>
                <w:b/>
                <w:color w:val="000000" w:themeColor="text1"/>
                <w:sz w:val="24"/>
                <w:szCs w:val="24"/>
                <w:highlight w:val="none"/>
                <w14:textFill>
                  <w14:solidFill>
                    <w14:schemeClr w14:val="tx1"/>
                  </w14:solidFill>
                </w14:textFill>
              </w:rPr>
              <w:tab/>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应主要由铝制安装底座、铝型材基体、铝制打磨机安装座 、防护罩、黑色POM打磨机固定座等组成。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铝合金件：厚度不小于5mm，喷砂氧化；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电压：DC24V～36V；</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功率：≥72W；</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打磨机夹持范围：0.3-6.5mm；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转速范围：9000~14500rpm。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6.3工件翻转模块</w:t>
            </w:r>
            <w:r>
              <w:rPr>
                <w:rFonts w:hint="eastAsia" w:ascii="宋体" w:hAnsi="宋体" w:eastAsia="宋体" w:cs="宋体"/>
                <w:b/>
                <w:color w:val="000000" w:themeColor="text1"/>
                <w:sz w:val="24"/>
                <w:szCs w:val="24"/>
                <w:highlight w:val="none"/>
                <w14:textFill>
                  <w14:solidFill>
                    <w14:schemeClr w14:val="tx1"/>
                  </w14:solidFill>
                </w14:textFill>
              </w:rPr>
              <w:tab/>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应由铝制安装底座、铝型材基体、回转气缸、大口径开口夹 、工件夹指等组成。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（1）回转气缸；</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回转角度：≥0-190°</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重复精度≤0.05°</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（2）大口径开口夹</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夹持力：≥10N</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重复定位精度≤±0.1mm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行程：≥20mm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6.4焊接变位机</w:t>
            </w:r>
            <w:r>
              <w:rPr>
                <w:rFonts w:hint="eastAsia" w:ascii="宋体" w:hAnsi="宋体" w:eastAsia="宋体" w:cs="宋体"/>
                <w:b/>
                <w:color w:val="000000" w:themeColor="text1"/>
                <w:sz w:val="24"/>
                <w:szCs w:val="24"/>
                <w:highlight w:val="none"/>
                <w14:textFill>
                  <w14:solidFill>
                    <w14:schemeClr w14:val="tx1"/>
                  </w14:solidFill>
                </w14:textFill>
              </w:rPr>
              <w:tab/>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机器人从原料库取料，并放置于焊接变位机装配工位，焊接装配工件和母件通过磁吸连接，装配后进行工件的模拟焊接作业。</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伺服电机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额定转速：约3000 rpm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额定扭矩 约(100 K)；1.27 Nm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额定电流；约2.6 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额定功率；约0.40 kW / 0.54 hp</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最大转速；约5000 rpm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最大扭矩；约3.82 Nm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最大电流；约7.8 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静态扭矩；约7.8 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转动惯量；约0.351 kgcm²</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电机类型；电机类型</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编码器系统；绝对值编码器不小于 20 位 + 12 位多圈</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b/>
                <w:color w:val="000000" w:themeColor="text1"/>
                <w:sz w:val="24"/>
                <w:szCs w:val="24"/>
                <w:highlight w:val="none"/>
                <w14:textFill>
                  <w14:solidFill>
                    <w14:schemeClr w14:val="tx1"/>
                  </w14:solidFill>
                </w14:textFill>
              </w:rPr>
              <w:t xml:space="preserve">伺服驱动器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相位数：1 AC</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电源电压：200 - 240 V +10 % -15 %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电源频率：45- 66 Hz</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额定功率：约0.40 kW</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额定电流 (IN)：约2.60 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最大输出电流：约7.80 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冷却:自然对流</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运行温度:0- 45 °C</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数字量输入 :不小于4</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数字量输出 :不小于2</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6.5立体仓储2模块</w:t>
            </w:r>
            <w:r>
              <w:rPr>
                <w:rFonts w:hint="eastAsia" w:ascii="宋体" w:hAnsi="宋体" w:eastAsia="宋体" w:cs="宋体"/>
                <w:b/>
                <w:color w:val="000000" w:themeColor="text1"/>
                <w:sz w:val="24"/>
                <w:szCs w:val="24"/>
                <w:highlight w:val="none"/>
                <w14:textFill>
                  <w14:solidFill>
                    <w14:schemeClr w14:val="tx1"/>
                  </w14:solidFill>
                </w14:textFill>
              </w:rPr>
              <w:tab/>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应主要由金属安装底座、铝型材基体、圆弧型库架等组成。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应可存储不同的焊接原料工件。</w:t>
            </w:r>
            <w:r/>
          </w:p>
          <w:p>
            <w:pPr>
              <w:jc w:val="left"/>
              <w:widowControl/>
              <w:rPr>
                <w:rFonts w:hint="eastAsia" w:ascii="宋体" w:hAnsi="宋体" w:eastAsia="宋体" w:cs="宋体"/>
                <w:b/>
                <w:color w:val="0000ff"/>
                <w:sz w:val="24"/>
                <w:szCs w:val="24"/>
                <w:highlight w:val="none"/>
              </w:rPr>
            </w:pPr>
            <w:r>
              <w:rPr>
                <w:rFonts w:hint="eastAsia" w:ascii="宋体" w:hAnsi="宋体" w:eastAsia="宋体" w:cs="宋体"/>
                <w:color w:val="0000ff"/>
                <w:sz w:val="24"/>
                <w:szCs w:val="24"/>
                <w:highlight w:val="none"/>
              </w:rPr>
              <w:t xml:space="preserve">◆</w:t>
            </w:r>
            <w:r>
              <w:rPr>
                <w:rFonts w:hint="eastAsia" w:ascii="宋体" w:hAnsi="宋体" w:eastAsia="宋体" w:cs="宋体"/>
                <w:b/>
                <w:color w:val="0000ff"/>
                <w:sz w:val="24"/>
                <w:szCs w:val="24"/>
                <w:highlight w:val="none"/>
              </w:rPr>
              <w:t xml:space="preserve">7 数字键盘装配任务单元</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按键原料模块、数字键盘放置模块、按键装配模块、键盘装配夹具、3个数字键盘及至少18个按键等组成，工业机器人可配合视觉完成数字键盘的识别、装配及入库操作。可以与传输模块配合，组成流水线式数字键盘装配任务。</w:t>
            </w:r>
            <w:r/>
          </w:p>
          <w:p>
            <w:pPr>
              <w:pStyle w:val="653"/>
              <w:rPr>
                <w:rFonts w:hint="eastAsia" w:ascii="宋体" w:hAnsi="宋体" w:eastAsia="仿宋_GB2312"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提供符合</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7</w:t>
            </w:r>
            <w:r>
              <w:rPr>
                <w:rFonts w:hint="eastAsia" w:ascii="宋体" w:hAnsi="宋体" w:eastAsia="宋体" w:cs="宋体"/>
                <w:b/>
                <w:bCs/>
                <w:color w:val="0000ff"/>
                <w:sz w:val="24"/>
                <w:szCs w:val="24"/>
                <w:highlight w:val="none"/>
              </w:rPr>
              <w:t xml:space="preserve">数字键盘装配任务单元</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rPr>
              <w:t xml:space="preserve">要求模块的效果图或实物图片</w:t>
            </w:r>
            <w:r>
              <w:rPr>
                <w:rFonts w:hint="eastAsia" w:ascii="宋体" w:hAnsi="宋体" w:eastAsia="宋体" w:cs="宋体"/>
                <w:b/>
                <w:bCs/>
                <w:color w:val="0000ff"/>
                <w:sz w:val="24"/>
                <w:szCs w:val="24"/>
                <w:highlight w:val="none"/>
                <w:lang w:eastAsia="zh-CN"/>
              </w:rPr>
              <w:t xml:space="preserve">。</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7.1按键原料模块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外形尺寸≥355*160mm、铝合金喷砂氧化。用于按键存放，能配合视觉系统，考核机器人视觉检测，完成视觉定位抓取。</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7.2数字键盘放置模块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应主要由料架、数字键盘托盘等组成。</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7.3按键装配模块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应主要由铝合金支架及装配定位板组成</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7.4数字键盘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键盘底托材质为ABS，包含0-9数字按键及其他符号按键不小于18个。</w:t>
            </w:r>
            <w:r/>
          </w:p>
          <w:p>
            <w:pPr>
              <w:jc w:val="left"/>
              <w:widowControl/>
              <w:rPr>
                <w:rFonts w:hint="eastAsia" w:ascii="宋体" w:hAnsi="宋体" w:eastAsia="宋体" w:cs="宋体"/>
                <w:b/>
                <w:color w:val="0000ff"/>
                <w:sz w:val="24"/>
                <w:szCs w:val="24"/>
                <w:highlight w:val="none"/>
              </w:rPr>
            </w:pPr>
            <w:r>
              <w:rPr>
                <w:rFonts w:hint="eastAsia" w:ascii="宋体" w:hAnsi="宋体" w:eastAsia="宋体" w:cs="宋体"/>
                <w:color w:val="0000ff"/>
                <w:sz w:val="24"/>
                <w:szCs w:val="24"/>
                <w:highlight w:val="none"/>
              </w:rPr>
              <w:t xml:space="preserve">★</w:t>
            </w:r>
            <w:r>
              <w:rPr>
                <w:rFonts w:hint="eastAsia" w:ascii="宋体" w:hAnsi="宋体" w:eastAsia="宋体" w:cs="宋体"/>
                <w:b/>
                <w:color w:val="0000ff"/>
                <w:sz w:val="24"/>
                <w:szCs w:val="24"/>
                <w:highlight w:val="none"/>
              </w:rPr>
              <w:t xml:space="preserve">8. RFID模块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C24V供电；LED液晶显示，读卡信息可通过模块自带LED显示，初始默认显示RFID卡的卡号和数据以及错误指令，可根据错误指令快速的定位错误原因；该RFID模块在不同的状态下有相对应的声音提示，用户可以根据提示音来判断RFID读写器的 当前状态；通信方式，RFID读写器</w:t>
            </w:r>
            <w:r>
              <w:rPr>
                <w:rFonts w:hint="eastAsia" w:ascii="宋体" w:hAnsi="宋体" w:eastAsia="宋体" w:cs="宋体"/>
                <w:color w:val="auto"/>
                <w:sz w:val="24"/>
                <w:szCs w:val="24"/>
                <w:highlight w:val="none"/>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MODBUS_TCP或MODBUS_RTU两种标准的通信协议。</w:t>
            </w:r>
            <w:r/>
          </w:p>
          <w:p>
            <w:pPr>
              <w:jc w:val="left"/>
              <w:widowControl/>
              <w:rPr>
                <w:rFonts w:hint="eastAsia" w:ascii="宋体" w:hAnsi="宋体" w:eastAsia="宋体" w:cs="宋体"/>
                <w:color w:val="0000ff"/>
                <w:sz w:val="24"/>
                <w:szCs w:val="24"/>
                <w:highlight w:val="none"/>
              </w:rPr>
            </w:pPr>
            <w:r>
              <w:rPr>
                <w:rFonts w:hint="eastAsia" w:ascii="宋体" w:hAnsi="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为保障所供软件不侵犯第三方软件著作权、专利权或其它所有权，</w:t>
            </w:r>
            <w:r>
              <w:rPr>
                <w:rFonts w:hint="eastAsia" w:ascii="宋体" w:hAnsi="宋体" w:eastAsia="宋体" w:cs="宋体"/>
                <w:b/>
                <w:bCs/>
                <w:strike w:val="0"/>
                <w:color w:val="0000ff"/>
                <w:sz w:val="24"/>
                <w:szCs w:val="24"/>
                <w:highlight w:val="none"/>
              </w:rPr>
              <w:t xml:space="preserve">需提供不涉</w:t>
            </w:r>
            <w:r>
              <w:rPr>
                <w:rFonts w:hint="eastAsia" w:ascii="宋体" w:hAnsi="宋体" w:eastAsia="宋体" w:cs="宋体"/>
                <w:b/>
                <w:bCs/>
                <w:color w:val="0000ff"/>
                <w:sz w:val="24"/>
                <w:szCs w:val="24"/>
                <w:highlight w:val="none"/>
              </w:rPr>
              <w:t xml:space="preserve">及侵权的承诺</w:t>
            </w:r>
            <w:r>
              <w:rPr>
                <w:rFonts w:hint="eastAsia" w:ascii="宋体" w:hAnsi="宋体" w:cs="宋体"/>
                <w:b/>
                <w:bCs/>
                <w:color w:val="0000ff"/>
                <w:sz w:val="24"/>
                <w:szCs w:val="24"/>
                <w:highlight w:val="none"/>
                <w:lang w:val="en-US" w:eastAsia="zh-CN"/>
              </w:rPr>
              <w:t xml:space="preserve">函，格式详见附件格式二</w:t>
            </w:r>
            <w:r>
              <w:rPr>
                <w:rFonts w:hint="eastAsia" w:ascii="宋体" w:hAnsi="宋体" w:eastAsia="宋体" w:cs="宋体"/>
                <w:b/>
                <w:bCs/>
                <w:color w:val="0000ff"/>
                <w:sz w:val="24"/>
                <w:szCs w:val="24"/>
                <w:highlight w:val="none"/>
              </w:rPr>
              <w:t xml:space="preserve">。</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9.电控及通讯系统</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9.1 电源</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输入电源，电源规格为AC单相220V，额定功率约2.5KW；直流电源采用开关电源DC24V 5A输出；电控系统设有2组动力插座，1组信号可控制插座，1组台体供外部设备使用插座，用于部分模块的供电。</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9.2 PLC及扩展模块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IO扩展模块不少于数字量16入、16出。</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9.3控制面板</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应含启动、停止、复位、急停、功能等按钮。</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9.4触摸屏</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要求与PLC同一品牌，采用不小于9寸真彩触摸屏，800 x 480 像素，64K 色；按键和触摸操作，8 个功能键；1xPROFINET，1 x USB；与PLC采用以太网通讯。</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9.5工控一体机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内存：≥4G</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硬盘：≥128G SSD</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网口：双卡双网口</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接口：HDMI、VGA、USB×4个</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尺寸：≥10.1寸</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9.6安全继电器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当安全光幕、急停或门锁传递来信号时，触发安全继电器动作，设备停止运行。</w:t>
            </w:r>
            <w:r/>
          </w:p>
          <w:p>
            <w:pPr>
              <w:jc w:val="left"/>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w:t>
            </w:r>
            <w:r>
              <w:rPr>
                <w:rFonts w:hint="eastAsia" w:ascii="宋体" w:hAnsi="宋体" w:eastAsia="宋体" w:cs="宋体"/>
                <w:b/>
                <w:color w:val="0000ff"/>
                <w:sz w:val="24"/>
                <w:szCs w:val="24"/>
                <w:highlight w:val="none"/>
              </w:rPr>
              <w:t xml:space="preserve">9.7 I/O转接板</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智能连接器，可显示电源指示灯、信号指示灯，配有快速插接插头。将设备线路信号集成转换到另外的负载接收模块，进行信号的数据交换。每输入或输出一个信号对应一个指示灯显示，通过信号指示可快速的判断信号的有无，以提高调试维护的工作效率。</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（1）PLC端I/O转接板</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PLC端分PNP型和NPN型两种类型，输入类型I/O 15AG，输出类型I/O 15AB，安装于配电盘连接PLC，可与外置模块通过15针插头快速连接，实现信号传输。</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（2）负载端I/O转接板</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负载端I/O转接板PNP与NPN通用。一块转接板分为三组，每一组由电源端和不小于5个信号组成，可接收高电平和低电平信号，采用15针快速插头和M12快速插头分别作为PLC端和对应模块的快速连接。</w:t>
            </w:r>
            <w:r/>
          </w:p>
          <w:p>
            <w:pPr>
              <w:pStyle w:val="653"/>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需提供符合上述</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rPr>
              <w:t xml:space="preserve">9.7 I/O转接板</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rPr>
              <w:t xml:space="preserve">模块要求的效果图或实物图片。</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10．气动系统</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应主要由空压机、调压过滤器等组成。</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10.1空压机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1)额定压力：≥0.7Mpa；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2)流量：不小于0.045m³/min；</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3)储气罐容量：约24L；</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4)压缩机电源及功率：220V/50Hz,0.75Kw。</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10.2调压过滤器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接管口径：1/8；</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保证耐压力：≥1.5MPa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最高使用压力：≥1.0MPa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设定压力范围：0.05～0.7MPa</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设定压力：0.05～0.7MPa设定；</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过滤精度：约40μm</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11.安全防护</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安全防护主要由安全光栅、三色警示灯等组成。</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12.监控系统</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1、摄像头：采用400万星光级1/3”CMOS，2.8mm焦距高清网络摄像机,POE供电，RJ45接口；</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2、硬盘容量：≥2TB</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3、监控固定座：铝合金材质，角度可调，</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13.实训桌椅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实训桌尺寸不小于560*410*860mm(L*W*H)，采用钢结构表面喷塑，并有主机和显示器护板,带丝口万向脚轮及刹车功能，抽拉式键盘托板，可拆卸式穿线孔。</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 软件</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14.1 PLC编程开发软件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1）应为与PLC品牌型号对应的集成开发环境；专业组合软件包，OPC UA 工具；</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2）至少支持包括英语、中文语言。</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ff"/>
                <w:sz w:val="24"/>
                <w:szCs w:val="24"/>
                <w:highlight w:val="none"/>
              </w:rPr>
              <w:t xml:space="preserve">★14.2工业机器人离线编程仿真软件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14.2.1应具备以下功能：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1）为机器人本体厂家开发，中英文界面。</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2）具有工业机器人模型库、加工中心、注塑机等模型库，可直接调用；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3）支持CAD格式有iges、stl，支持用户自建的三维 CAD 模型功能及数模输出功能，可通过该功能将软件中的设备导出为IGES格式的三维数模，并存储至文件目录中；可单独导出某一设备的三维数模，也可将多个设备整体导出为一个三维数模。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4）可直接显示机器人虚拟示教器，该虚拟示教器基本与真实示教器一致，可通过虚拟示教器点动机器人、创建机器人程序、查看机器人 I/O 配置等操作，且操作方式与真实机器人操作方式一致；软件包含坐标显示功能。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5）软件包含坐标显示功能，可协助使用者更为简单、直观地了解机器人的一些抽象概念，进一步提高学习及工作效率，可直接显示于软件中的有：</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a)工业机器人的TCP坐标位置方向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b)机器人轴关节位置及运动方向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c)用户坐标位置方向</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d)运动轨迹可视化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e)示教位置可视化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6）在虚拟仿真软件中，可实现的功能至少包含：</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a)设备布局确认</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b)检查机器人可达性与干涉性，</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c)机器人编程且机器人可按照真实的运动规律执行程序，实现程序规定的动作；</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d)在虚拟仿真软件中编制的机器人程序，可导入真实的工业机器人中，并能直接使用。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7）软件包含机器人视觉模拟功能。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8）软件具备图片及视频输出功能；可将机器人路径程序执行时机器人的运动情况录制并存储至文件目录，无需额外录屏、录像软件。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9）软件经官方注册后，可长期使用；软件支持注册码转移，通过存储介质，可将已注册软件的注册码，转移至另一台为经注册的软件中，实现注册码转移。</w:t>
            </w:r>
            <w:r/>
          </w:p>
          <w:p>
            <w:pPr>
              <w:jc w:val="left"/>
              <w:widowControl/>
              <w:rPr>
                <w:rFonts w:hint="eastAsia"/>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14.2.2配套机器人系统集成平台各实训模块3D模型，并完成相应的仿真实训。</w:t>
            </w:r>
            <w:r/>
          </w:p>
          <w:p>
            <w:pPr>
              <w:pStyle w:val="653"/>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需提供满足</w:t>
            </w:r>
            <w:r>
              <w:rPr>
                <w:rFonts w:hint="eastAsia" w:ascii="宋体" w:hAnsi="宋体" w:eastAsia="宋体" w:cs="宋体"/>
                <w:b/>
                <w:bCs/>
                <w:color w:val="0000ff"/>
                <w:sz w:val="24"/>
                <w:szCs w:val="24"/>
                <w:highlight w:val="none"/>
                <w:lang w:eastAsia="zh-CN"/>
              </w:rPr>
              <w:t xml:space="preserve">“14.2工业机器人离线编程仿真软件”</w:t>
            </w:r>
            <w:r>
              <w:rPr>
                <w:rFonts w:hint="eastAsia" w:ascii="宋体" w:hAnsi="宋体" w:eastAsia="宋体" w:cs="宋体"/>
                <w:b/>
                <w:bCs/>
                <w:color w:val="0000ff"/>
                <w:sz w:val="24"/>
                <w:szCs w:val="24"/>
                <w:highlight w:val="none"/>
              </w:rPr>
              <w:t xml:space="preserve">功能</w:t>
            </w:r>
            <w:r>
              <w:rPr>
                <w:rFonts w:hint="eastAsia" w:ascii="宋体" w:hAnsi="宋体" w:eastAsia="宋体" w:cs="宋体"/>
                <w:b/>
                <w:bCs/>
                <w:color w:val="0000ff"/>
                <w:sz w:val="24"/>
                <w:szCs w:val="24"/>
                <w:highlight w:val="none"/>
                <w:lang w:val="en-US" w:eastAsia="zh-CN"/>
              </w:rPr>
              <w:t xml:space="preserve">的界面截图</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ff"/>
                <w:sz w:val="24"/>
                <w:szCs w:val="24"/>
                <w:highlight w:val="none"/>
              </w:rPr>
              <w:t xml:space="preserve">★14.3工业机器人虚拟拆装训练仿真系统</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14.3.1采用3D技术与交互式动画相结合的方式，仿真拆装工业机器人机械结构，通过对机器人的3D模拟仿真拆装训练，可以在线将每个轴拆卸成独立的零部件，让学生掌握工业机器人的硬件组成、机器人结构分析、机器人电机安装、RV减速器、谐波减速器安装等机器人安装技能。</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14.3.2装配模式中的随机性：</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本系统装配模式中，每次点击进入装配场景后，桌面上散落的各种零件，其位置、角度均不同。通过这种随机机制，可以更好的训练学员进行装配。</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14.3.3智能拆装：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系统设有智能拆装助手，在学员还没有完全掌握工业机器人的拆装顺序、步骤时，只需通过简单的点击操作，即可以实现分步式拆装、自动拆装、规定步序拆装等操作，教师可用此功能作为教学示教，学生利用此功能进行自主学习。</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14.3.4全方位零件展示方式：</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本系统以3D形式展示零件，设有零件视窗，零件视窗内可拖动零件实现360度全方位交互展示。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14.3.5零件视察显示：</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鼠标移动到零件上的时候，零件会以高亮标识出示零件的名称、轮廓，实现快速识别。</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14.3.6摄像机位置追踪：</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当鼠标点击某个零件的时候，摄像机会平滑运动过度到该零件位置，操作简单。</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14.3.7场景切换：</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本系统内设简易和仿真两种场景模式供用户选择切换，仿真场景以实际工业机器人理实一体化教室为模型，设有理论学习区、讨论区、装配区、资料区等不同区域，给学生以真实学习环境。</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14.3.8画质与性能兼顾：</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仿真场景下画质光影非常突出，场景的代入感十足。极简场景下，只显示必要物体，对机器配置要求比较低。不同电脑配置可以按需选择场景。</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14.3.9完美的比例适配：本系统可以完美适配4:3、5:4、16:9/16:10等各种屏幕比例。</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14.3.10跨平台：本系统兼容Android、PC平台。</w:t>
            </w:r>
            <w:r/>
          </w:p>
          <w:p>
            <w:pPr>
              <w:pStyle w:val="653"/>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注：</w:t>
            </w:r>
            <w:r>
              <w:rPr>
                <w:rFonts w:hint="eastAsia" w:ascii="宋体" w:hAnsi="宋体" w:eastAsia="宋体" w:cs="宋体"/>
                <w:color w:val="0000ff"/>
                <w:sz w:val="24"/>
                <w:szCs w:val="24"/>
                <w:highlight w:val="none"/>
              </w:rPr>
              <w:t xml:space="preserve">需提供满足上述功能界面软件截图。</w:t>
            </w:r>
            <w:r>
              <w:rPr>
                <w:rFonts w:hint="eastAsia" w:ascii="宋体" w:hAnsi="宋体" w:eastAsia="宋体" w:cs="宋体"/>
                <w:color w:val="0000ff"/>
                <w:sz w:val="24"/>
                <w:szCs w:val="24"/>
                <w:highlight w:val="none"/>
                <w:lang w:val="en-US" w:eastAsia="zh-CN"/>
              </w:rPr>
              <w:t xml:space="preserve">且</w:t>
            </w:r>
            <w:r>
              <w:rPr>
                <w:rFonts w:hint="eastAsia" w:ascii="宋体" w:hAnsi="宋体" w:eastAsia="宋体" w:cs="宋体"/>
                <w:color w:val="0000ff"/>
                <w:sz w:val="24"/>
                <w:szCs w:val="24"/>
                <w:highlight w:val="none"/>
              </w:rPr>
              <w:t xml:space="preserve">为保障所供软件不侵犯第三方软件著作权、专利权或其它所有权，要求提供不涉及侵权的承诺</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承诺函格式详见附件格式三</w:t>
            </w:r>
            <w:r>
              <w:rPr>
                <w:rFonts w:hint="eastAsia" w:ascii="宋体" w:hAnsi="宋体" w:eastAsia="宋体" w:cs="宋体"/>
                <w:color w:val="0000ff"/>
                <w:sz w:val="24"/>
                <w:szCs w:val="24"/>
                <w:highlight w:val="none"/>
              </w:rPr>
              <w:t xml:space="preserve">。</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14.4数字孪生仿真工作站（单站配6套）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14.4.1</w:t>
            </w:r>
            <w:r>
              <w:rPr>
                <w:rFonts w:hint="eastAsia" w:ascii="宋体" w:hAnsi="宋体" w:eastAsia="宋体" w:cs="宋体"/>
                <w:color w:val="000000" w:themeColor="text1"/>
                <w:sz w:val="24"/>
                <w:szCs w:val="24"/>
                <w:highlight w:val="none"/>
                <w14:textFill>
                  <w14:solidFill>
                    <w14:schemeClr w14:val="tx1"/>
                  </w14:solidFill>
                </w14:textFill>
              </w:rPr>
              <w:t xml:space="preserve">工作台：采用钢结构表面喷塑，并有工作站终端和显示看板,万向脚轮及刹车功能，抽拉式键盘托板，可拆卸式穿线孔。</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尺寸≥560*510*960（L*W*H），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14.4.2工作站终端参数：CPU:64位处理器，主频2.1GHz，25 M 高速缓存，不少于12核心和20线程;内存：16G+，显卡：独立显卡，显存4GB；硬盘：1T机械硬盘+250G固态硬盘，显示看板：≥21.5英寸</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14.4.3数字化孪生软件</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软件应支持机械、电气、自动化多学科协同并行的设计方法，可集成上游和下游工程领域，包括需求管理、机械设计、电气设计以及软件/ 自动化工程，使这些学科能够同时工作， 专注于包括机械部件、传感器、驱动器、PLC 程序设计和运动控制的设计。该平台可实现创新性的设计技术， 帮助自动化设备设计人员满足日益提高的要求，不断提高自动化设备的生产效率、缩短设计周期。</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具体功能有：</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1）CAD导入：可导入各种主流CAD格式的数据，包括IGES、STEP、NX、JT、ProE、DXF及CATIA等。</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干涉检查：要求带有干涉检查功能，可避免设备碰撞造成的严重损失。选定检测对象后，软件可自动监测并显示程序执行时这些对象是否会发生干涉。</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2）自动路径生成：通过干涉检查，可自动生成跟踪加工曲线所需要的机器人位置（路径）</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3）支持多种工艺：支持多种工艺仿真，如点焊、弧焊、激光焊、铆接、装配、包装、搬运、去毛倒刺、涂胶、抛光、喷涂、滚边等</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4）支持虚拟传感器：可以进行带有虚拟传感器的现实自动化设计。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可达性验证：用户可通过该功能任意移动机器人或工件，直到所有位置均可到达，在数分钟之内可完成工作单元平面布置验证和优化。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5）PLC虚实连接：通过OPC DA、OPC UA服务器或者PLCSIM Advanced软件，可以轻松得与PLC通信。其中PLCSIM Advanced所连接的PLC为软件生成的虚拟PLC。</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6）机器人程序下载：通过仿真验证后，可以将机器人程序导出，并下载到机器人中。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7）AGV仿真验证：AGV仿真验证、优化运动路径防止干涉、保证安全生产用虚拟调试技术加速现场自动化实施，验证AGV、机器人、工业设备通讯和控制逻辑，验证机群规划。</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8）VR交互：VR交互沉浸式体验，支持虚拟调试远程协作。</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节拍计算与优化：软件在仿真环境下可以估算并且生成生产节拍，依据机器人运动速度、工艺因素和外围设备的运行时间进行节拍估算，然后通过优化机器人的运动轨迹来优化节拍、提高效率。通过RCS接口，可以获得更精确的工作节拍。</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10）连接软硬件：实时连接软硬件实现数字化双胞胎，机器人虚拟工艺验证避免产品和设备损失。</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11）配套软</w:t>
            </w:r>
            <w:r>
              <w:rPr>
                <w:rFonts w:hint="eastAsia" w:ascii="宋体" w:hAnsi="宋体" w:eastAsia="宋体" w:cs="宋体"/>
                <w:color w:val="000000" w:themeColor="text1"/>
                <w:sz w:val="24"/>
                <w:szCs w:val="24"/>
                <w:highlight w:val="none"/>
                <w14:textFill>
                  <w14:solidFill>
                    <w14:schemeClr w14:val="tx1"/>
                  </w14:solidFill>
                </w14:textFill>
              </w:rPr>
              <w:t xml:space="preserve">件：该软件制造商需拥有“三维设计、分析、加工（CAD／CAE／CAM软件）”的软件产品，学校可利用三维软件产品搭建虚拟环境，实现使用PLC仿真系统控制生产过程的虚拟调试；该软件产品在设计方面：如级进模设计、人机工程、电极设计、一体化设计方案、船舶结构细节设计、焊接基础结构设计、电缆布线、注塑、结构、工程模具设计；仿真设计方面；如流体、静力学、动力学、运动、高级热、空间热、电子系统冷却分析、模拟、分析；加工方面：如三轴、四轴、五轴、叶轮五轴联动；四轴线切割加工能力以及开放的后置处理程序方面都具备处置调试能力。</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12）模型仿真分析：可以根据模型仿真的结果用甘特图来显示生产计划,应包括生产计划的时间顺序,资源使用的时间序列。从而可以分析资源的占用情况,生产计划安排的合理性。</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13）能够与三维软件无缝集成：可读取 JT 轻量化模型数据,实现工厂设备的三维可视化。</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14）能够完成电焊工艺设计和离线编程：能够输出主流机器(ABB/KUKA/FANUC)可识别的离线程序碰撞。</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人机工程：该系统对生产过程中的人因工程分析，通过参照标准人体动作库对人体视线、部位姿态、工具操作、工作运动空间等分析，实现工作中人员舒适度分析、疲劳强度分析、生产安全性分析、关键操作力量分析等深入量化分析，准确计算人员操作时间和效率， 分析人员工作以及人机协同工作的效率和安全性。</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16）语言切换：该软件应支持中文、英文、德文、日文等多种软件语言。</w:t>
            </w:r>
            <w:r/>
          </w:p>
          <w:p>
            <w:pPr>
              <w:jc w:val="lef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ff"/>
                <w:sz w:val="24"/>
                <w:szCs w:val="24"/>
                <w:highlight w:val="none"/>
              </w:rPr>
              <w:t xml:space="preserve">▲14.4.4数字孪生配套机器人系统集成平台3D仿真模型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ff"/>
                <w:sz w:val="24"/>
                <w:szCs w:val="24"/>
                <w:highlight w:val="none"/>
              </w:rPr>
              <w:t xml:space="preserve">以下</w:t>
            </w:r>
            <w:r>
              <w:rPr>
                <w:rFonts w:hint="eastAsia" w:ascii="宋体" w:hAnsi="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rPr>
              <w:t xml:space="preserve">个模块或模型工作流程</w:t>
            </w:r>
            <w:r>
              <w:rPr>
                <w:rFonts w:hint="eastAsia" w:ascii="宋体" w:hAnsi="宋体" w:cs="宋体"/>
                <w:color w:val="0000ff"/>
                <w:sz w:val="24"/>
                <w:szCs w:val="24"/>
                <w:highlight w:val="none"/>
                <w:lang w:eastAsia="zh-CN"/>
              </w:rPr>
              <w:t xml:space="preserve">，</w:t>
            </w:r>
            <w:r>
              <w:rPr>
                <w:rFonts w:hint="eastAsia" w:ascii="宋体" w:hAnsi="宋体" w:eastAsia="宋体" w:cs="宋体"/>
                <w:color w:val="0000ff"/>
                <w:sz w:val="24"/>
                <w:szCs w:val="24"/>
                <w:highlight w:val="none"/>
                <w:lang w:val="en-US" w:eastAsia="zh-CN"/>
              </w:rPr>
              <w:t xml:space="preserve">投标时</w:t>
            </w:r>
            <w:r>
              <w:rPr>
                <w:rFonts w:hint="eastAsia" w:ascii="宋体" w:hAnsi="宋体" w:cs="宋体"/>
                <w:color w:val="0000ff"/>
                <w:sz w:val="24"/>
                <w:szCs w:val="24"/>
                <w:highlight w:val="none"/>
                <w:lang w:val="en-US" w:eastAsia="zh-CN"/>
              </w:rPr>
              <w:t xml:space="preserve">至少提供一个</w:t>
            </w:r>
            <w:r>
              <w:rPr>
                <w:rFonts w:hint="eastAsia" w:ascii="宋体" w:hAnsi="宋体" w:eastAsia="宋体" w:cs="宋体"/>
                <w:color w:val="0000ff"/>
                <w:sz w:val="24"/>
                <w:szCs w:val="24"/>
                <w:highlight w:val="none"/>
              </w:rPr>
              <w:t xml:space="preserve">模块或模型</w:t>
            </w:r>
            <w:r>
              <w:rPr>
                <w:rFonts w:hint="eastAsia" w:ascii="宋体" w:hAnsi="宋体" w:cs="宋体"/>
                <w:color w:val="0000ff"/>
                <w:sz w:val="24"/>
                <w:szCs w:val="24"/>
                <w:highlight w:val="none"/>
                <w:lang w:val="en-US" w:eastAsia="zh-CN"/>
              </w:rPr>
              <w:t xml:space="preserve">的完整演示，如</w:t>
            </w:r>
            <w:r>
              <w:rPr>
                <w:rFonts w:hint="eastAsia" w:ascii="宋体" w:hAnsi="宋体" w:eastAsia="宋体" w:cs="宋体"/>
                <w:color w:val="000000" w:themeColor="text1"/>
                <w:sz w:val="24"/>
                <w:szCs w:val="24"/>
                <w:highlight w:val="none"/>
                <w14:textFill>
                  <w14:solidFill>
                    <w14:schemeClr w14:val="tx1"/>
                  </w14:solidFill>
                </w14:textFill>
              </w:rPr>
              <w:t xml:space="preserve">焊接考核模块）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（1）焊接考核模块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基本组成：皮带输送模块、平面打磨模块、工件翻转模块、焊接变位机、立体仓储2模块。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基本流程：以机器人焊接应用技术为核心，实现机器人在焊接自动化行业中 1台机器人对应1台机床及周边品的原料分拣、机床上下料、打磨去毛刺、智能装配、智能检测及成品入库等工艺应用。</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工作流程：取料（小焊接件）→视觉分拣→倒角去毛刺→入库</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取料（大焊接件）→视觉分拣→端面打磨→视觉检测→翻转更换夹持端→倒角去毛刺→传输→机加工（单机床）→翻转更换夹持端→入库→出库→装配→焊接。</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）数字键盘装配考核模块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基本组成：按键原料模块、数字键盘放置模块、按键装配模块、数字键盘。</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基本流程：以机器人在3C行业的应用技术为核心，实现机器人在键盘装配自动化行业中的原料分拣、智能装配、智能检测及成品入库等工艺应用。</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工作流程：</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机器人搬运传输托盘到传输带上→机器人搬运键盘底托到传输托盘→传输到装配工位→夹紧定位→取料（键盘帽）→视觉分拣排列→数字键盘装配→传输→成品入库。</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）机器人系统集成项目</w:t>
            </w:r>
            <w:r>
              <w:rPr>
                <w:rFonts w:hint="eastAsia" w:ascii="宋体" w:hAnsi="宋体" w:cs="宋体"/>
                <w:color w:val="auto"/>
                <w:sz w:val="24"/>
                <w:szCs w:val="24"/>
                <w:highlight w:val="none"/>
                <w:lang w:val="en-US" w:eastAsia="zh-CN"/>
              </w:rPr>
              <w:t xml:space="preserve">加工装配</w:t>
            </w:r>
            <w:r>
              <w:rPr>
                <w:rFonts w:hint="eastAsia" w:ascii="宋体" w:hAnsi="宋体" w:eastAsia="宋体" w:cs="宋体"/>
                <w:color w:val="auto"/>
                <w:sz w:val="24"/>
                <w:szCs w:val="24"/>
                <w:highlight w:val="none"/>
              </w:rPr>
              <w:t xml:space="preserve">工作任务3D模型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任务描述：在机加工自动化行业中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w:t>
            </w:r>
            <w:r>
              <w:rPr>
                <w:rFonts w:hint="eastAsia" w:ascii="宋体" w:hAnsi="宋体" w:eastAsia="宋体" w:cs="宋体"/>
                <w:color w:val="auto"/>
                <w:sz w:val="24"/>
                <w:szCs w:val="24"/>
                <w:highlight w:val="none"/>
              </w:rPr>
              <w:t xml:space="preserve">1台机器人对应1台机床及周边品的</w:t>
            </w:r>
            <w:r>
              <w:rPr>
                <w:rFonts w:hint="eastAsia" w:ascii="宋体" w:hAnsi="宋体" w:cs="宋体"/>
                <w:color w:val="auto"/>
                <w:sz w:val="24"/>
                <w:szCs w:val="24"/>
                <w:highlight w:val="none"/>
                <w:lang w:val="en-US" w:eastAsia="zh-CN"/>
              </w:rPr>
              <w:t xml:space="preserve">取料</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机加工</w:t>
            </w:r>
            <w:r>
              <w:rPr>
                <w:rFonts w:hint="eastAsia" w:ascii="宋体" w:hAnsi="宋体" w:eastAsia="宋体" w:cs="宋体"/>
                <w:color w:val="auto"/>
                <w:sz w:val="24"/>
                <w:szCs w:val="24"/>
                <w:highlight w:val="none"/>
              </w:rPr>
              <w:t xml:space="preserve">、打磨、智能装配</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val="en-US" w:eastAsia="zh-CN"/>
              </w:rPr>
              <w:t xml:space="preserve">分拣入库</w:t>
            </w:r>
            <w:r>
              <w:rPr>
                <w:rFonts w:hint="eastAsia" w:ascii="宋体" w:hAnsi="宋体" w:eastAsia="宋体" w:cs="宋体"/>
                <w:color w:val="auto"/>
                <w:sz w:val="24"/>
                <w:szCs w:val="24"/>
                <w:highlight w:val="none"/>
              </w:rPr>
              <w:t xml:space="preserve">等工艺应用。</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工作流程：取料（圆棒）→机加工→圆棒装入套娃底里面→取料（套娃盖）→打磨去毛刺→装配→检测（微动开关）→不合格品放次品托盘，合格品放合格托盘。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）机器人系统集成项目气缸柔性制造任务3D模型</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任务描述：以机器人柔性制造为核心，实现在气缸柔性制造任务中机器人对周边品的原料分拣、装配、检测及成品入库等工艺应用。</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流程：滑道抓取缸体→到装配台中间位→夹爪中间抓取缸体到传感器处检测→放置到装配台→取料（活塞杆）→装配到装配台上的缸体内→弹簧供料→取料（弹簧）→装配到装配台上的缸体内→盖供料→取料（改）→到装配台传感器处检测→装配到缸体上→放入成品库。</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）机器人系统集成项目机器人物料搬运任务3D模型</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任务描述：以机器人物料搬运为核心，实现机器人在物流行业中机器人对原料分拣、物料传输、物料搬运及成品入库等工艺应用。</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工作流程：抓取收纳盒→放置到输送机上→输送机件收纳盒传输到位→取料→放置到收纳盒→抓取收纳盒到托盘上→循环以上步骤直到收纳盒全部入库。</w:t>
            </w:r>
            <w:r/>
          </w:p>
          <w:p>
            <w:pPr>
              <w:widowControl/>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★14.4.5数字孪生配套3D仿真训练模型</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（1）模块化柔性生产线实训系统虚拟模型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模块化柔性生产线实训系统虚拟模型需满足以下流程：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1)供料单元：供料气缸伸出→推出料块→料块到位→真空吸盘吸取→摆动气缸将料块移动至下一站→真空吸盘松开→等待下次供料。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搬运单元：当上一站送来工件时→深度检测气缸伸出→深度检测气缸下降→深度检测完毕→搬运机械手左移至料块抓取位置→升降气缸下降→气手指抓取→抓取到位→升降气缸上升→搬运机械手右移至放料位置→升降气缸下降→气手指松开→升降气缸上升→等待下次供料，本站含有不合格料仓，可用于废料存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配单元：当上一站送来工件时→皮带运行→检测工件颜色→挡料气缸动作→根据工件颜色选择盖子颜色→伸缩气缸伸出→升降气缸下降→吸盘吸附→升降气缸上升→伸缩气缸缩回→升降气缸下降→吸盘释放→升降气缸上升→皮带带动料块输送到下一站→等待下次供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4)工业机器人码垛搬运单元：当上一站送来工件时→工业机器人抓取工件→按照工件颜色将工件码放在仓储单元相应位置上→等待下次供料。</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（2）分类罐装服务型制造系统模型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分类罐装服务型制造系统</w:t>
            </w:r>
            <w:r>
              <w:rPr>
                <w:rFonts w:hint="eastAsia" w:ascii="宋体" w:hAnsi="宋体" w:cs="宋体"/>
                <w:color w:val="auto"/>
                <w:sz w:val="24"/>
                <w:szCs w:val="24"/>
                <w:highlight w:val="none"/>
                <w:lang w:val="en-US" w:eastAsia="zh-CN"/>
              </w:rPr>
              <w:t xml:space="preserve">虚拟</w:t>
            </w:r>
            <w:r>
              <w:rPr>
                <w:rFonts w:hint="eastAsia" w:ascii="宋体" w:hAnsi="宋体" w:eastAsia="宋体" w:cs="宋体"/>
                <w:color w:val="auto"/>
                <w:sz w:val="24"/>
                <w:szCs w:val="24"/>
                <w:highlight w:val="none"/>
              </w:rPr>
              <w:t xml:space="preserve">模型需满足以下流程：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1）自动供料单元：接收箱单命令由供料气缸推出料仓的空瓶，对空瓶进行扫码检测识别，搬运机械手把识别完成的工件搬运到智能分拣单元的传输带上。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2）智能分拣单元：扫码器对瓶子扫码，完成信息识别确认，由传输带传输工件至要求的挡停位置，根据订单需求完成5mm或8mm的钢球灌装，挡停机构复位，灌装完的工件进入下一工作站。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配检测单元：扫码器对装配完成的瓶子进行再次扫码确认，由拔叉将灌装成品，运送至装配称重复合工位，先对灌装的工件进行称重，三色灯根据称重结果进行显示（称重状态下黄色指示灯闪烁，质检合格后亮绿灯，质检不合格红色闪烁）并将称重合格的物料进行装盖。</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4）AGV物流单元：把装配检测单元的灌装成品搬运到智能仓储单元。</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5）智能仓储单元：将灌装成品进行入库。</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（3）智能制造系统集成应用平台虚拟模型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智能制造系统集成应用平台虚拟模型需满足以下流程：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1)智能仓储单元：三轴机械手（X、Y、Z轴）通过订单下发的内容运行到对应的仓位进行毛坯工件出库放置到中转工位。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2)AGV搬运单元：AGV进行转运（出库），从中转工位搬运到缓冲工位。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3)工业机器人单元及RFID读写单元：机器人抓取AGV单元缓冲工位中的托盘及毛坯物料，放置到RFID读写器上方，进行信息读写。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4)加工中心单元：读写完成后机器人抓取毛坯料进行机床上料，上料完成后加工中心进行加工、在线测量，测量完成后机器人进行加工件下料。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5)视觉检测单元：下料完成后进行智能检测（视觉）。</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6)工业机器人单元及RFID读写单元：视觉检测完成后RFID进行信息更新，更新完成后机器人搬运成品放置到缓冲工位。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7)AGV搬运单元：AGV进行转运（成品入库），从缓冲工位搬运到中转工位。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8)智能仓储单元：三轴机械手（X、Y、Z轴）进行成品入库。</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（4）工业4.0技术应用系统虚拟模型（4站）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工业4.0技术应用系统虚拟模型需满足以下流程：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1)底盒供料站：客户下单，MES下达生产任务，底盒供料模块推出相应颜色的底盒至托盘。并通过RFID把产品信息写入到芯片。</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2)书签供料站：托盘到达书签供料站后，相对应的挡停机构动作，托盘准确停止在程序设定的工位，由搬运模块把书签搬运到底盒槽内。并通过RFID更新产品信息。挡停机构复位，托盘进入下一工作站。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盒盖装配站：托盘到达盒盖装配站后，相对应的挡停机构动作，托盘准确停止在程序设定的工位，盒盖供料模块推出相应颜色的盒盖至中转台，由搬运装配模块把盒盖搬运到底盒上面完成装配。并通过RFID更新产品信息。挡停机构复位，托盘进入下一工作站。</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4)成品入库：托盘到达仓储站后，相对应的挡停机构动作，托盘准确停止在程序设定的工位，由机械手把成品盒搬运到MES指定的仓位，完成成品入库流程。并通过RFID更新产品信息。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5)底盒供料站：客户下单，系统下达生产任务，底盒供料模块推出相应颜色的底盒至托盘。并通过RFID把产品信息写入到芯片。</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（5）工业互联网协调制造生产系统虚拟模型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工业互联网协调制造生产系统虚拟模型需满足以下流程：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1)系统下单：客户下单，系统下达指令，系统运行。</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2)底盒供料：机器人根据订单信息，抓取底盒搬运至底盒装配平台上的凹槽内</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3)书签供料：机器人根据订单信息，书签自动供料模块推出相应的书签至书签输送机。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4)书签抓取：机器人根据视觉系统检测书签的颜色等信息，自动抓取书签并转运至打标平台。</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5)激光打标：打标机文件系统订单信息，打印定制化图形图像（模拟），完成加工过程；机器人将书签和盒底搬运至单元输送模块，并通过RFID写入产品信息。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6)转运输送：AGV小车与单元输送模块接驳，然后将半成品及托盘转运输送至自动仓储的单元输送模块，完成半成品到自动化仓储单元的运输。</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7)包装：加工完的书签和盒底运至自动化仓储单元，根据RFID读取的信息，巷道机械手搬运相应配套盒盖，完成成品的包装，装配完成后将成品放入成品区。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8)成品出库：系统根据客户要求下达指令，巷道机械手搬运成品放置于成品输出装置上，待客户取走所需成品，完成出库，并将信息传输给MES系统，完成整个订单。</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15.落地式配电柜（此项为实训室配套设备总计数量为8套）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XL-21（每套成品包含：配电柜柜体：1700*700*400，1个；总刀闸HR3-400A，1只；塑壳断路器3P，125A，5只；断路器3P，63A，8只；漏电断路器2P，63A，1只；三相计量电表，1只；电流表3只；电压表，1只；转换开关，1只；指示灯，3只； NXBLE-63YH漏电保护断路器，C10A，3P+N，5只；铜排等）。</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16.劳保用品（此项为实训室配套设施总计数量为40套）</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配套尺寸（每套设施包含防砸绝缘鞋1双、长袖长裤工作服1套）。</w:t>
            </w:r>
            <w:r/>
          </w:p>
          <w:p>
            <w:pPr>
              <w:jc w:val="left"/>
              <w:widowControl/>
              <w:rPr>
                <w:rFonts w:hint="default" w:ascii="宋体" w:hAnsi="宋体" w:eastAsia="宋体" w:cs="宋体"/>
                <w:b/>
                <w:color w:val="0000ff"/>
                <w:sz w:val="24"/>
                <w:szCs w:val="24"/>
                <w:highlight w:val="none"/>
                <w:lang w:val="en-US" w:eastAsia="zh-CN"/>
              </w:rPr>
            </w:pPr>
            <w:r>
              <w:rPr>
                <w:rFonts w:hint="eastAsia" w:ascii="宋体" w:hAnsi="宋体" w:eastAsia="宋体" w:cs="宋体"/>
                <w:color w:val="0000ff"/>
                <w:sz w:val="24"/>
                <w:szCs w:val="24"/>
                <w:highlight w:val="none"/>
              </w:rPr>
              <w:t xml:space="preserve">★17.</w:t>
            </w:r>
            <w:r>
              <w:rPr>
                <w:rFonts w:hint="eastAsia" w:ascii="宋体" w:hAnsi="宋体" w:eastAsia="宋体" w:cs="宋体"/>
                <w:b/>
                <w:color w:val="0000ff"/>
                <w:sz w:val="24"/>
                <w:szCs w:val="24"/>
                <w:highlight w:val="none"/>
              </w:rPr>
              <w:t xml:space="preserve">工业机器人系统操作员</w:t>
            </w:r>
            <w:r>
              <w:rPr>
                <w:rFonts w:hint="eastAsia" w:ascii="宋体" w:hAnsi="宋体" w:eastAsia="宋体" w:cs="宋体"/>
                <w:b/>
                <w:color w:val="0000ff"/>
                <w:sz w:val="24"/>
                <w:szCs w:val="24"/>
                <w:highlight w:val="none"/>
                <w:lang w:val="en-US" w:eastAsia="zh-CN"/>
              </w:rPr>
              <w:t xml:space="preserve">理论和实践试题</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17.1提供工业机器人系统操作员国家职业技能等级二级理论题库不小于6套，每套理论题不小于200道</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17.2提供工业机器人系统操作员国家职业技能等级二级理技能操作不小于6套。</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17.3提供工业机器人系统操作员国家职业技能等级三级理论题库不小于6套，每套理论题不小于200道</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17.4提供工业机器人系统操作员国家职业技能等级三级理技能操作不小于6套。</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17.5提供工业机器人系统操作员国家职业技能等级四级理论题库不小于6套，每套理论题不小于200道</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17.6提供工业机器人系统操作员国家职业技能等级四级理技能操作不小于6套。</w:t>
            </w:r>
            <w:r/>
          </w:p>
          <w:p>
            <w:pPr>
              <w:pStyle w:val="653"/>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需提供满足上述要求</w:t>
            </w:r>
            <w:r>
              <w:rPr>
                <w:rFonts w:hint="eastAsia" w:ascii="宋体" w:hAnsi="宋体" w:eastAsia="宋体" w:cs="宋体"/>
                <w:b/>
                <w:bCs/>
                <w:color w:val="0000ff"/>
                <w:sz w:val="24"/>
                <w:szCs w:val="24"/>
                <w:highlight w:val="none"/>
                <w:lang w:val="en-US" w:eastAsia="zh-CN"/>
              </w:rPr>
              <w:t xml:space="preserve">的</w:t>
            </w:r>
            <w:r>
              <w:rPr>
                <w:rFonts w:hint="eastAsia" w:ascii="宋体" w:hAnsi="宋体" w:eastAsia="宋体" w:cs="宋体"/>
                <w:b/>
                <w:bCs/>
                <w:color w:val="0000ff"/>
                <w:sz w:val="24"/>
                <w:szCs w:val="24"/>
                <w:highlight w:val="none"/>
              </w:rPr>
              <w:t xml:space="preserve">截图。</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18、工具包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应包括万用表、内六角扳手套装、一字螺丝刀、十字螺丝刀等。</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三、可完成的考核设计任务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1)工业机器人的安装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2)工业机器人示教器的安装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3)工业机器人末端工具的安装</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4)工业机器人参数的设置</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5)工业机器人运行模式及手动速度的实训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6)工业机器人常用信息的查看</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7)工业机器人编程指令介绍</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8)工业机器人程序的备份及恢复</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9)工业机器人初次上电及IO配置</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10)工业机器人坐标系的标定的实训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11)工业机器人安全工作区域的设定</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12)工业机器人故障诊断与维护</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13)电气图纸的识读的实训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14)气动电路接管和电气连线</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15)检测开关的应用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16)多种传感器的应用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17)气动元件的应用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18)PLC的安装与应用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19)触摸屏的安装与应用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20)机器人与PLC通讯</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21)触摸屏与PLC通讯</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22)工业机器人与视觉通讯的实训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23)工业机器人快换工具的应用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24)工业机器人平面轨迹工作任务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25)工业机器人空间轨迹工作任务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26)工业机器人曲面轨迹工作任务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27)工业机器人方形、圆形料块搬运码垛工作任务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28)工业机器人异形工具（七巧板）搬运码垛工作任务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29)工业机器人机加工自动化工作任务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30)工业机器人机加工焊接工作任务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31)工业机器人数字键盘装配工作任务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32)机器人仿真软件的机器人拆装实训</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33）多工作站间的通讯实训任务</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四、场景处理、音箱教学系统主要配件（此项为实训室配套设备总计提供1套）：</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1.交换机机柜，优质冷轧钢板制作，1台；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2.交换机，48个千兆网口，4个万兆网口，1台；</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3.多媒体音响系统，音响套装，1对8寸音箱，D20功放，OK-12会议话筒，1套；</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4.实训室安装调试包含：</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（1）D202、D203：</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1)拆除D202、D203之间的隔墙，并将横梁、地面、涉及线路（网络、电线等）恢复。</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2)拆除D202地台，移位恢复、地面恢复。</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智慧黑板支架：可移动式设计，底部具有万向轮，任意方向移动；具有脚刹功能，可固定万向轮；不低于4个2.5寸刹车静音万向轮；Q235钢质钣金圆管；黑色；烤漆工艺；不低于100KG承重；尺寸（完全伸展）：2127mm（高）*3357mm（宽）*844mm（深）；黑板离地高度800-900mm。</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（2）D101、D102：</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1)拆除D101、D102之间的隔墙，并将横梁、地面、涉及线路（网络、电线等）恢复。</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2)拆除D101地台，移位恢复、地面恢复。</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智慧黑板支架：可移动式设计，底部具有万向轮，任意方向移动；具有脚刹功能，可固定万向轮；不低于4个2.5寸刹车静音万向轮；Q235钢质钣金圆管；黑色；烤漆工艺；不低于100KG承重；尺寸（完全伸展）：2127mm（高）*3357mm（宽）*844mm（深）；黑板离地高度800-900mm。</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4)D102文化墙同规格移位。</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5)D101、D102之间加装移门：高约2.5m、宽约6.6m（实际以现场测量为准）；三叠门（6扇）、带缓冲；双层玻璃厚度10mm（夹胶）；隐形铝合金轨道（全铝、整料）；配门套。</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（3）实训室布线材料，电缆线、线槽、网线等，依据教室布局安装调试成功。</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注：</w:t>
            </w:r>
            <w:r>
              <w:rPr>
                <w:rFonts w:hint="eastAsia" w:ascii="宋体" w:hAnsi="宋体" w:eastAsia="宋体" w:cs="宋体"/>
                <w:color w:val="0000ff"/>
                <w:sz w:val="24"/>
                <w:szCs w:val="24"/>
                <w:highlight w:val="none"/>
              </w:rPr>
              <w:t xml:space="preserve">为更好的规划实训室建设及教学功能分区，需根据设备及场地情况分别做出平面设计图以及将平面设计图融入教室的3D教室整体效果图。</w:t>
            </w:r>
            <w:r/>
          </w:p>
        </w:tc>
        <w:tc>
          <w:tcPr>
            <w:tcW w:w="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tcW w:w="75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0"/>
        </w:trPr>
        <w:tc>
          <w:tcPr>
            <w:shd w:val="clear" w:color="auto" w:fill="auto"/>
            <w:tcW w:w="60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auto" w:fill="auto"/>
            <w:tcW w:w="9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工业机器人供料罐装工作站</w:t>
            </w:r>
            <w:r/>
          </w:p>
        </w:tc>
        <w:tc>
          <w:tcPr>
            <w:shd w:val="clear" w:color="auto" w:fill="auto"/>
            <w:tcW w:w="6934" w:type="dxa"/>
            <w:textDirection w:val="lrTb"/>
            <w:noWrap w:val="false"/>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一、总体技术要求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该产品要求模拟一个高度自动化的智能工厂，需要包含了工业4.0技术与先进制造理念，智能生产线包含供料、灌装、密封及入库等生产工序及流程，同时配置有数字孪生仿真工作站，用于后序生产线的扩展、设计及虚拟调试。该产品系统软件需提供包含PLC编程软件、MES制造执行系统、工业数字孪生开发平台等软件。学生可通过本地化实体设备系统的学习并掌握相关专业技能。针对该产线，还需提供工业数字孪生虚拟环境中的贴标检测站、包装站、成品仓储站。学生可通过虚拟孪生软件，系统的学习掌握各项专业技能。</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产品可提供学员学习掌握以下技能：传感器检测技术、电机驱动技术、PLC技术、RFID技术、组态技术、系统维护和故障检测技术、MES制造执行管理系统、物流传输技术、数字孪生技术。要求描述该产品以上技术的具体内容，描述设备工作流程。</w:t>
            </w:r>
            <w:r/>
          </w:p>
          <w:p>
            <w:pPr>
              <w:jc w:val="left"/>
              <w:rPr>
                <w:rFonts w:hint="eastAsia" w:ascii="宋体" w:hAnsi="宋体" w:eastAsia="宋体" w:cs="宋体"/>
                <w:color w:val="0000ff"/>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▲1.2设备需满足工作流程：</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auto"/>
                <w:sz w:val="24"/>
                <w:szCs w:val="24"/>
                <w:highlight w:val="none"/>
              </w:rPr>
              <w:t xml:space="preserve">1)瓶体供料：瓶体分为（如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灌装：灌装颗粒分为两种颜色（如红色、黄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3)装配：机器人抓取吸盘夹具，在视觉相机的引导下抓取对应的瓶盖，并将其装配于瓶体上，装配结束；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4)入库：机器人更换手抓夹具，将装配好的料瓶从托盘上取下并放入对应的仓储位；托盘挡停气缸缩回，托盘运行至右升降平台，升降平台将托盘传递给下层输送带，使托盘回到托盘供料处，如此循环。</w:t>
            </w:r>
            <w:r/>
          </w:p>
          <w:p>
            <w:pPr>
              <w:pStyle w:val="653"/>
              <w:rPr>
                <w:rFonts w:hint="eastAsia" w:ascii="宋体" w:hAnsi="宋体" w:eastAsia="宋体" w:cs="宋体"/>
                <w:b/>
                <w:bCs w:val="0"/>
                <w:color w:val="0000ff"/>
                <w:sz w:val="24"/>
                <w:szCs w:val="24"/>
                <w:highlight w:val="none"/>
                <w:lang w:eastAsia="zh-CN"/>
              </w:rPr>
            </w:pPr>
            <w:r>
              <w:rPr>
                <w:rFonts w:hint="eastAsia" w:ascii="宋体" w:hAnsi="宋体" w:eastAsia="宋体" w:cs="宋体"/>
                <w:b/>
                <w:bCs w:val="0"/>
                <w:color w:val="0000ff"/>
                <w:sz w:val="24"/>
                <w:szCs w:val="24"/>
                <w:highlight w:val="none"/>
                <w:lang w:val="en-US" w:eastAsia="zh-CN"/>
              </w:rPr>
              <w:t xml:space="preserve">注：</w:t>
            </w:r>
            <w:r>
              <w:rPr>
                <w:rFonts w:hint="eastAsia" w:ascii="宋体" w:hAnsi="宋体" w:eastAsia="宋体" w:cs="宋体"/>
                <w:b/>
                <w:bCs w:val="0"/>
                <w:color w:val="0000ff"/>
                <w:sz w:val="24"/>
                <w:szCs w:val="24"/>
                <w:highlight w:val="none"/>
              </w:rPr>
              <w:t xml:space="preserve">需提供</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rPr>
              <w:t xml:space="preserve">1.2设备需满足工作流程</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rPr>
              <w:t xml:space="preserve">模块动作实物演示视频和配套仿真动画视频</w:t>
            </w:r>
            <w:r>
              <w:rPr>
                <w:rFonts w:hint="eastAsia" w:ascii="宋体" w:hAnsi="宋体" w:eastAsia="宋体" w:cs="宋体"/>
                <w:b/>
                <w:bCs w:val="0"/>
                <w:color w:val="0000ff"/>
                <w:sz w:val="24"/>
                <w:szCs w:val="24"/>
                <w:highlight w:val="none"/>
                <w:lang w:eastAsia="zh-CN"/>
              </w:rPr>
              <w:t xml:space="preserve">（</w:t>
            </w:r>
            <w:r>
              <w:rPr>
                <w:rFonts w:hint="eastAsia" w:ascii="宋体" w:hAnsi="宋体" w:eastAsia="宋体" w:cs="宋体"/>
                <w:b/>
                <w:bCs w:val="0"/>
                <w:color w:val="0000ff"/>
                <w:sz w:val="24"/>
                <w:szCs w:val="24"/>
                <w:highlight w:val="none"/>
                <w:lang w:val="en-US" w:eastAsia="zh-CN"/>
              </w:rPr>
              <w:t xml:space="preserve">提供一个动作环节的样章，如瓶体供料</w:t>
            </w:r>
            <w:r>
              <w:rPr>
                <w:rFonts w:hint="eastAsia" w:ascii="宋体" w:hAnsi="宋体" w:eastAsia="宋体" w:cs="宋体"/>
                <w:b/>
                <w:bCs w:val="0"/>
                <w:color w:val="0000ff"/>
                <w:sz w:val="24"/>
                <w:szCs w:val="24"/>
                <w:highlight w:val="none"/>
                <w:lang w:eastAsia="zh-CN"/>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1.3.产品需采用实训平台加实训功能模块的组合式结构，各个模块底板都是具有固定位置，任务实训时不需要动用工具拆装模块即可满足全部实训内容。</w:t>
            </w:r>
            <w:r/>
          </w:p>
          <w:p>
            <w:pPr>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★1.4 要求设备达到工业机器人操作与运维职业技能等级考核使用要求；并提供以下</w:t>
            </w:r>
            <w:r>
              <w:rPr>
                <w:rFonts w:hint="eastAsia" w:ascii="宋体" w:hAnsi="宋体" w:cs="宋体"/>
                <w:color w:val="0000ff"/>
                <w:sz w:val="24"/>
                <w:szCs w:val="24"/>
                <w:highlight w:val="none"/>
                <w:lang w:val="en-US" w:eastAsia="zh-CN"/>
              </w:rPr>
              <w:t xml:space="preserve">配套内容</w:t>
            </w:r>
            <w:r>
              <w:rPr>
                <w:rFonts w:hint="eastAsia" w:ascii="宋体" w:hAnsi="宋体" w:eastAsia="宋体" w:cs="宋体"/>
                <w:color w:val="0000ff"/>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1）工业机器人一体化工作页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页数不少于100页；实训任务严格按照工业机器人操作与运维职业技能等级标准，实训任务不得少于30个；</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工业机器人一体化工作页、信息页与评价页，将工业机器人分为工业机器人认知、工业机器人安全操作、工业机器人安装及工业机器人检测维护五个项目进行编写。每一项目分为若干个不同的学习任务为一个单位进行组织，每个学习任务都对应各自的工作页、信息页与评价页。</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2）教学</w:t>
            </w:r>
            <w:r>
              <w:rPr>
                <w:rFonts w:hint="eastAsia" w:ascii="宋体" w:hAnsi="宋体" w:cs="宋体"/>
                <w:color w:val="auto"/>
                <w:sz w:val="24"/>
                <w:szCs w:val="24"/>
                <w:highlight w:val="none"/>
                <w:lang w:val="en-US" w:eastAsia="zh-CN"/>
              </w:rPr>
              <w:t xml:space="preserve">配套文件</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提供工业机器人操作与运维职业等级标准（</w:t>
            </w:r>
            <w:r>
              <w:rPr>
                <w:rFonts w:hint="eastAsia" w:ascii="宋体" w:hAnsi="宋体" w:cs="宋体"/>
                <w:color w:val="auto"/>
                <w:sz w:val="24"/>
                <w:szCs w:val="24"/>
                <w:highlight w:val="none"/>
                <w:lang w:val="en-US" w:eastAsia="zh-CN"/>
              </w:rPr>
              <w:t xml:space="preserve">应至少包含</w:t>
            </w:r>
            <w:r>
              <w:rPr>
                <w:rFonts w:hint="eastAsia" w:ascii="宋体" w:hAnsi="宋体" w:eastAsia="宋体" w:cs="宋体"/>
                <w:color w:val="auto"/>
                <w:sz w:val="24"/>
                <w:szCs w:val="24"/>
                <w:highlight w:val="none"/>
              </w:rPr>
              <w:t xml:space="preserve">“工业机器人操作安全保护”、“工业机器人安装”、“工业机器人操作与示教编程”、“工业机器人数据备份及恢复”、“工业机器人系统维护”、“工业机器人安装”、“工业机器人校对与调试”、“工业机器人操作与编程”、“工业机器人系统故障诊断及处理”等），初、中、高各自对应工作领域的教学PPT课件及教学视频。提供机器人详细拆卸和安装视频，时长120分钟以上。</w:t>
            </w:r>
            <w:r/>
          </w:p>
          <w:p>
            <w:pPr>
              <w:pStyle w:val="653"/>
              <w:rPr>
                <w:rFonts w:hint="eastAsia" w:ascii="宋体" w:hAnsi="宋体" w:eastAsia="宋体" w:cs="宋体"/>
                <w:b/>
                <w:bCs w:val="0"/>
                <w:color w:val="0000ff"/>
                <w:sz w:val="24"/>
                <w:szCs w:val="24"/>
                <w:highlight w:val="none"/>
                <w:lang w:eastAsia="zh-CN"/>
              </w:rPr>
            </w:pPr>
            <w:r>
              <w:rPr>
                <w:rFonts w:hint="eastAsia" w:ascii="宋体" w:hAnsi="宋体" w:eastAsia="宋体" w:cs="宋体"/>
                <w:b/>
                <w:bCs w:val="0"/>
                <w:color w:val="0000ff"/>
                <w:sz w:val="24"/>
                <w:szCs w:val="24"/>
                <w:highlight w:val="none"/>
                <w:lang w:val="en-US" w:eastAsia="zh-CN"/>
              </w:rPr>
              <w:t xml:space="preserve">注：</w:t>
            </w:r>
            <w:r>
              <w:rPr>
                <w:rFonts w:hint="eastAsia" w:ascii="宋体" w:hAnsi="宋体" w:eastAsia="宋体" w:cs="宋体"/>
                <w:b/>
                <w:bCs w:val="0"/>
                <w:color w:val="0000ff"/>
                <w:sz w:val="24"/>
                <w:szCs w:val="24"/>
                <w:highlight w:val="none"/>
              </w:rPr>
              <w:t xml:space="preserve">需提供满足上述要求的各</w:t>
            </w:r>
            <w:r>
              <w:rPr>
                <w:rFonts w:hint="eastAsia" w:ascii="宋体" w:hAnsi="宋体" w:eastAsia="宋体" w:cs="宋体"/>
                <w:b/>
                <w:bCs w:val="0"/>
                <w:color w:val="0000ff"/>
                <w:sz w:val="24"/>
                <w:szCs w:val="24"/>
                <w:highlight w:val="none"/>
                <w:lang w:val="en-US" w:eastAsia="zh-CN"/>
              </w:rPr>
              <w:t xml:space="preserve">配套文件的</w:t>
            </w:r>
            <w:r>
              <w:rPr>
                <w:rFonts w:hint="eastAsia" w:ascii="宋体" w:hAnsi="宋体" w:eastAsia="宋体" w:cs="宋体"/>
                <w:b/>
                <w:bCs w:val="0"/>
                <w:color w:val="0000ff"/>
                <w:sz w:val="24"/>
                <w:szCs w:val="24"/>
                <w:highlight w:val="none"/>
              </w:rPr>
              <w:t xml:space="preserve">界面截图</w:t>
            </w:r>
            <w:r>
              <w:rPr>
                <w:rFonts w:hint="eastAsia" w:ascii="宋体" w:hAnsi="宋体" w:eastAsia="宋体" w:cs="宋体"/>
                <w:b/>
                <w:bCs w:val="0"/>
                <w:color w:val="0000ff"/>
                <w:sz w:val="24"/>
                <w:szCs w:val="24"/>
                <w:highlight w:val="none"/>
                <w:lang w:eastAsia="zh-CN"/>
              </w:rPr>
              <w:t xml:space="preserve">。</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 配置</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1.设备组成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台体、工业机器人、操作电箱、立式挂箱模块、多功能显示器模块、托盘供料模块、瓶体供料模块、双层传输模块、电动机械手模块、升降平台（左）、RFID信息读写模块、灌装供料模块、机器人快换夹具座、视觉检测平台、视觉检测支架、立体仓储模块、升降平台（右）、托盘、电控及通讯系统、气动单元等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外形尺寸不小于1600×1100×1940mm (L×W×H)</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输入电源：AC220V±10%，50Hz。</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输出电源：直流稳压电源：24V，5A</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工作气压：0.35-0.65MPa</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安全保护功能：急停按钮、短路及过载等。</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1.1基础平台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体尺寸不小于1600×1100×1940mm，框架需采用4080mm铝型材结构搭建；安装面板需采用厚不小于30mm、间隔25mm的优质铝合金面板，可任意安装其它执行机构或模块。底部为钣金结构；基础平台需配有相应的触摸屏、操作面板和指示灯；实训台底脚上需安装有脚轮可调脚杯，平台可移动与调整定位。</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1.2托盘供料模块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应主要由料井、供料台架、推料气缸、光纤传感器、滑槽等组成，采用铝合金、亚克力材质；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气缸缸径≥16mm，行程≥80mm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1.3瓶体供料模块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应主要由固定瓶体形状的定位板、料仓、固定台架、直线导轨、气缸等组成，应具有用于方形、圆形两类瓶体供料，应通过气缸的驱动，配合电动机械手模块对瓶体进行抓取工作。</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气缸缸径≥10mm，行程≥50mm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1.4电动机械手模块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应由X轴直线模组、Z轴直线模组、步进电机、升降气缸、夹指气缸、旋转编码器、检测开关、限位保护等组成，应满足瓶体抓取、搬运功能。X轴应由步进电机驱动，Z轴应由升降气缸带动夹指气缸动作。</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步进电机：步距角：1.8°±5%；力矩≥1.2Nm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升降气缸缸径≥10mm，行程≥70mm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夹指气缸缸径≥20mm。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1.5升降平台（左）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应主要是由双轴气缸、同步带、直流减速电机、导向轴等组成。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双轴气缸带动传输带模块做上下移动，对接双层传输模块1，使供料托盘通过升降平台传输到双层传输模块1上。</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气缸缸径≥16mm,行程≥100mm。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1.6双层传输模块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应主要是分为两层传输机构，上层传输主要是运送料瓶进行灌装流程，下层传输，主要是回收托盘至托盘供料处。</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应主要由铝合金框架、直流减速电机、传输皮带、气缸挡停机构、传感器检测单元等组成。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输送宽度约≥60mm,长度≥960mm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直流减速电机：DC24V,转速≥80r。</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1.7灌装供料模块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应主要由铝型材底架、料筒、旋转输送分料盘、步进电机及驱动器组成。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应主要分为两组灌装供料，由步进电机带动分料盘供料，与双层传输模块中的称重传感器配合，根据程序设定的供料多少，称重传感器反馈信号反馈值给控制系统。</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1.8称重模块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应主要由气缸、微型重量传感器、称重托盘等组成。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应满足灌装物料重量与设定值相等时，由微型重量传感器发出信号使物料不再灌装。</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微型重量传感器检测范围：0-10N，气缸缸径≥10mm，行程≥10mm。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1.9 机器人模块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需满足以下要求：</w:t>
            </w:r>
            <w:r/>
          </w:p>
          <w:p>
            <w:pPr>
              <w:rPr>
                <w:rFonts w:hint="eastAsia" w:ascii="宋体" w:hAnsi="宋体" w:eastAsia="宋体" w:cs="宋体"/>
                <w:b/>
                <w:color w:val="0000ff"/>
                <w:sz w:val="24"/>
                <w:szCs w:val="24"/>
                <w:highlight w:val="none"/>
              </w:rPr>
            </w:pPr>
            <w:r>
              <w:rPr>
                <w:rFonts w:hint="eastAsia" w:ascii="宋体" w:hAnsi="宋体" w:eastAsia="宋体" w:cs="宋体"/>
                <w:b/>
                <w:bCs/>
                <w:color w:val="0000ff"/>
                <w:sz w:val="24"/>
                <w:szCs w:val="24"/>
                <w:highlight w:val="none"/>
              </w:rPr>
              <w:t xml:space="preserve">★</w:t>
            </w:r>
            <w:r>
              <w:rPr>
                <w:rFonts w:hint="eastAsia" w:ascii="宋体" w:hAnsi="宋体" w:eastAsia="宋体" w:cs="宋体"/>
                <w:b/>
                <w:color w:val="0000ff"/>
                <w:sz w:val="24"/>
                <w:szCs w:val="24"/>
                <w:highlight w:val="none"/>
              </w:rPr>
              <w:t xml:space="preserve">工业机器人参数：</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工业级机器人；并为以后扩展提供接口，机器人技术参数如下：</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1）6自由度；</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2）AC全伺服电机驱动；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3）负载能力≥7kg；</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4）重复定位精度≤±0.0</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mm；</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5）每轴运动范围及最高速度：</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J1范围：≥340°(最高速度：≥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360</w:t>
            </w:r>
            <w:r>
              <w:rPr>
                <w:rFonts w:hint="eastAsia" w:ascii="宋体" w:hAnsi="宋体" w:eastAsia="宋体" w:cs="宋体"/>
                <w:color w:val="000000" w:themeColor="text1"/>
                <w:sz w:val="24"/>
                <w:szCs w:val="24"/>
                <w:highlight w:val="none"/>
                <w14:textFill>
                  <w14:solidFill>
                    <w14:schemeClr w14:val="tx1"/>
                  </w14:solidFill>
                </w14:textFill>
              </w:rPr>
              <w:t xml:space="preserve">°/s）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J2范围：≥210°(最高速度：≥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J3范围：≥260°(最高速度：≥3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J4范围：≥380°(最高速度：≥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J5范围：≥250°(最高速度：≥4</w:t>
            </w:r>
            <w:r>
              <w:rPr>
                <w:rFonts w:hint="eastAsia" w:ascii="宋体" w:hAnsi="宋体" w:cs="宋体"/>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4"/>
                <w:szCs w:val="24"/>
                <w:highlight w:val="none"/>
                <w14:textFill>
                  <w14:solidFill>
                    <w14:schemeClr w14:val="tx1"/>
                  </w14:solidFill>
                </w14:textFill>
              </w:rPr>
              <w:t xml:space="preserve">°/s)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J6范围：≥720°(最高速度：≥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84</w:t>
            </w:r>
            <w:r>
              <w:rPr>
                <w:rFonts w:hint="eastAsia" w:ascii="宋体" w:hAnsi="宋体" w:eastAsia="宋体" w:cs="宋体"/>
                <w:color w:val="000000" w:themeColor="text1"/>
                <w:sz w:val="24"/>
                <w:szCs w:val="24"/>
                <w:highlight w:val="none"/>
                <w14:textFill>
                  <w14:solidFill>
                    <w14:schemeClr w14:val="tx1"/>
                  </w14:solidFill>
                </w14:textFill>
              </w:rPr>
              <w:t xml:space="preserve">0°/s)</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6）最大展开半径：≥700mm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控制器：</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含控制柜</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1）输入电源设备容量：≥1.2kVA；</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2）CPU DRAM容量：≥1G；</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3）内存卡容量FROM/SRAM：≥128M+1M；</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4）通讯模块要求：不少于Modbus TCP、EtherNet/IP、TCP/IP；</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5）控制器需集成视觉通讯及调试软件；</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7）应具有位置/速度检查功能；</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8）USB类型要求： USB2.0（控制器）</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9）保护等级要求：IP54；</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10）控制柜组成：包括电源供给单元、安全保护回路、伺服放大器、输入/输出模块、主控单元、急停电路板；</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示教器技术参数：</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（1）彩色示教器，可进行图形化的生产监控；</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（2）示教器可直接进行视觉参数设置及调试作业</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（3）界面含图形化机器人模型、报警信息等必要信息；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（4）USB 类型：USB3.0。</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1.10 机器人夹具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工业机器人本体需配套专门的工业机器人快换夹具。机器人快换夹具最大负载≥6Kg（快换连接盘不少于一公二母，气路不少于4路），机器人快换夹具包括气手指夹具、吸盘夹具适用于不同操作对象的夹具。</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1.11 视觉检测模块1</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应由相机调整架、工业相机、镜头、可调支架及数字控制器、电缆及视觉软件等组成。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工业相机像素不低于320万，具有总线通信功能，至少包含TCP/IP、MODBUS-TCP、UDP三种通讯协议，能够与PLC通讯，可检测物品形状、颜色、缺陷、OCR文字识别。</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镜头：25mm焦距， 不低于400万像素；。</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1.12视觉检测模块2（3D相机）</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应由工业相机、镜头、可调支架、光源、视觉控制器、视觉软件等组成。</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功能：进行形状、数字标识、位置、尺寸等进行检测，并配合PLC、HMI完成元件的分拣、拼图、质量检测、智能入库等。具体参数要求如下：</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1）面扫条纹光栅结构光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2）双目结构</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3）防护等级IP65</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4）标定距离：≥600mm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5）工作距离：≥400mm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6）有效视野:≥396mmx226mm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7）VDI/VDE精度：≥0.192mm@600mm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8）分辨率：≥1920x1200</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9）XY方向分辨率精度:≤0.230mm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10）Z向单点重复精度：≤0.030mm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11）采集时间：0.6s~1s</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12）输出结果：空间三维坐标及姿态信息XYZ,Rx,Ry,Rz</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1.13 视觉检测料架</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应主要是由底板、铝型材、托盘等组成。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外形尺寸≥220*160*117mm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1.14 升降平台（右）</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应主要是由双轴气缸、同步带、直流减速电机、导向轴等组成。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双轴气缸带动传输带模块做上下移动，对接双层传输模块2，使供料托盘通过升降平台传输到双层传输模块2上。</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气缸缸径≥16mm,行程≥100mm。</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1.15立体仓储模块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应主要由型材立柱、支撑隔板、弧形料仓板组成。应满足两层四列成品仓储。</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1.16 多功能显示器模块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显示器应采用21:9超宽屏IPS平面显示器，75Hz刷新频率。</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1.17 电控及通讯系统</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电控系统应由输入输出电源、PLC模块、触摸屏、通讯模块、IO转接板、接线模块、空气开关、继电器、工业交换机、操作面板等组成。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触摸屏：应采用不小于7寸真彩触摸屏，接口具有RS232/485，USB，与PLC采用以太网通讯。</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应配套网线及通讯模块，配合工业交换机、远程IO模块等搭建成完整的网络建设。</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操作面板应至少含电源开关，启动、停止、复位、手自动和急停按钮。</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2.RFID射频识别系统</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C24V供电；LED液晶显示，读卡信息可通过模块自带LED显示，初始默认显示RFID卡的卡号和数据以及错误指令，可根据错误指令快速的定位错误原因；该RFID模块在不同的状态下有相对应的声音提示，用户可以根据提示音来判断RFID读写器的 当前状态；通信方式，RFID读写器提供MODBUS_TCP或MODBUS_RTU两种标准的通信协议。</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3.供气系统</w:t>
            </w:r>
            <w:r/>
          </w:p>
          <w:p>
            <w:pPr>
              <w:pStyle w:val="866"/>
              <w:ind w:lef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主要由空压机、电磁换向阀、调压过滤器、调速阀等组成。</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空压机：功率≥0.75KW，储气罐容量≥24L；流量≥135L/min，额定排气压力0.7MPa.噪音≤68dB(A)（单台空压机启动时关闭出气阀门）。</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4.软件</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4.1 PLC编程开发软件</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1）应为与PLC品牌型号对应的集成开发环境；专业组合软件包，OPC UA 工具；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2）至少支持包括英语、中文语言；</w:t>
            </w:r>
            <w:r/>
          </w:p>
          <w:p>
            <w:pPr>
              <w:rPr>
                <w:rFonts w:hint="eastAsia" w:ascii="宋体" w:hAnsi="宋体" w:eastAsia="宋体" w:cs="宋体"/>
                <w:b/>
                <w:bCs/>
                <w:color w:val="0000ff"/>
                <w:sz w:val="24"/>
                <w:szCs w:val="24"/>
                <w:highlight w:val="none"/>
              </w:rPr>
            </w:pPr>
            <w:r>
              <w:rPr>
                <w:rFonts w:hint="eastAsia" w:ascii="宋体" w:hAnsi="宋体" w:eastAsia="宋体" w:cs="宋体"/>
                <w:color w:val="0000ff"/>
                <w:sz w:val="24"/>
                <w:szCs w:val="24"/>
                <w:highlight w:val="none"/>
              </w:rPr>
              <w:t xml:space="preserve">◆</w:t>
            </w:r>
            <w:r>
              <w:rPr>
                <w:rFonts w:hint="eastAsia" w:ascii="宋体" w:hAnsi="宋体" w:eastAsia="宋体" w:cs="宋体"/>
                <w:b/>
                <w:bCs/>
                <w:color w:val="0000ff"/>
                <w:sz w:val="24"/>
                <w:szCs w:val="24"/>
                <w:highlight w:val="none"/>
              </w:rPr>
              <w:t xml:space="preserve">4.2制造执行MES系统</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生产制造执行系统MES，并为其量身定制工业APP，选手所有工作任务均从个性化需求订单及共线生产出发，平台允许用户通过工业APP进行任务下发，并进行共线生产的全自动化作业。从订单加工、生产、装配到成品的检测、包装，订单制造过程的每一个环节，均可通过MES系统进行实时查询与追踪。</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本单元包含系统设置、基础管理、订单管理，生产管理，设备管理、仓储管理模块，同时反馈系统的工作状态。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系统设置：可进行用户管理、角色管理、菜单管理、按钮管理、数据字典、日志管理的设置。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基础管理模块：可进行用户信息编辑，包含新建或删除用户、设置名称、密码、权限等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订单管理模块：接收来自客户的订单，根据客户定制化要求，调度订单次序，允许插单。</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生产进度查询：客户可查询当前订单的完成状态。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设备管理模块：可进行设备类型、维护等方面信息的管理。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仓储管理模块：接收来自下层反馈的仓库信息，进行仓储类型、仓位状态等管理。</w:t>
            </w:r>
            <w:r/>
          </w:p>
          <w:p>
            <w:pPr>
              <w:pStyle w:val="653"/>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需提供满足上述功能界面截图</w:t>
            </w:r>
            <w:r>
              <w:rPr>
                <w:rFonts w:hint="eastAsia" w:ascii="宋体" w:hAnsi="宋体" w:eastAsia="宋体" w:cs="宋体"/>
                <w:b/>
                <w:bCs/>
                <w:color w:val="0000ff"/>
                <w:sz w:val="24"/>
                <w:szCs w:val="24"/>
                <w:highlight w:val="none"/>
                <w:lang w:eastAsia="zh-CN"/>
              </w:rPr>
              <w:t xml:space="preserve">。</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4.3.数字孪生仿真工作站</w:t>
            </w:r>
            <w:r>
              <w:rPr>
                <w:rFonts w:hint="eastAsia" w:ascii="宋体" w:hAnsi="宋体" w:eastAsia="宋体" w:cs="宋体"/>
                <w:b/>
                <w:color w:val="000000" w:themeColor="text1"/>
                <w:sz w:val="24"/>
                <w:szCs w:val="24"/>
                <w:highlight w:val="none"/>
                <w14:textFill>
                  <w14:solidFill>
                    <w14:schemeClr w14:val="tx1"/>
                  </w14:solidFill>
                </w14:textFill>
              </w:rPr>
              <w:t xml:space="preserve">（1套）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4.3.1工作台：采用钢结构表面喷塑，并有工作站终端和显示看板,万向脚轮及刹车功能，抽拉式键盘托板，可拆卸式穿线孔。</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尺寸≥560*510*960（L*W*H），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4.3.2工作站终端参数：CPU：64位处理器，主频2.1GHz，25 M 高速缓存，不少于12核心和20线程；内存：16G+，显卡：独立显卡，显存4GB；硬盘：1T机械硬盘+250G固态硬盘，显示看板：≥21.5英寸</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4.3.3数字化孪生软件</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软件应支持机械、电气、自动化多学科协同并行的设计方法，可集成上游和下游工程领域，包括需求管理、机械设计、电气设计以及软件/ 自动化工程，使这些学科能够同时工作， 专注于包括机械部件、传感器、驱动器、PLC 程序设计和运动控制的设计。该平台可实现创新性的设计技术， 帮助自动化设备设计人员满足日益提高的要求，不断提高自动化设备的生产效率、缩短设计周期。</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数字化孪生软件需具有以下功能：</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1）CAD导入：可导入各种主流CAD格式的数据，包括IGES、STEP、NX、JT、ProE、DXF及CATIA等。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干涉检查：要求带有干涉检查功能，可避免设备碰撞造成的严重损失。选定检测对象后，Process Simulate可自动监测并显示程序执行时这些对象是否会发生干涉。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2）自动路径生成：通过干涉检查，可自动生成跟踪加工曲线所需要的机器人位置（路径）</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3）支持多种工艺：支持多种工艺仿真，如点焊、弧焊、激光焊、铆接、装配、包装、搬运、去毛倒刺、涂胶、抛光、喷涂、滚边等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4）支持虚拟传感器：可以进行带有虚拟传感器的现实自动化设计。</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可达性验证：用户可通过该功能任意移动机器人或工件，直到所有位置均可到达，在数分钟之内可完成工作单元平面布置验证和优化。</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5）PLC虚实连接：通过OPC DA、OPC UA服务器或者PLCSIM Advanced软件，可以轻松得与PLC通信。其中PLCSIM Advanced所连接的PLC为软件生成的虚拟PLC。</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6）机器人程序下载：通过仿真验证后，可以将机器人程序导出，并下载到机器人中。</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7）AGV仿真验证：AGV仿真验证、优化运动路径防止干涉、保证安全生产用虚拟调试技术加速现场自动化实施，验证AGV、机器人、工业设备通讯和控制逻辑，验证机群规划。</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8）VR交互：VR交互沉浸式体验，支持虚拟调试远程协作。</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节拍计算与优化：软件在仿真环境下可以估算并且生成生产节拍，依据机器人运动速度、工艺因素和外围设备的运行时间进行节拍估算，然后通过优化机器人的运动轨迹来优化节拍、提高效率。通过RCS接口，可以获得更精确的工作节拍。</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10）连接软硬件：实时连接软硬件实现数字化双胞胎，机器人虚拟工艺验证避免产品和设备损失。</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11）配套软</w:t>
            </w:r>
            <w:r>
              <w:rPr>
                <w:rFonts w:hint="eastAsia" w:ascii="宋体" w:hAnsi="宋体" w:eastAsia="宋体" w:cs="宋体"/>
                <w:color w:val="000000" w:themeColor="text1"/>
                <w:sz w:val="24"/>
                <w:szCs w:val="24"/>
                <w:highlight w:val="none"/>
                <w14:textFill>
                  <w14:solidFill>
                    <w14:schemeClr w14:val="tx1"/>
                  </w14:solidFill>
                </w14:textFill>
              </w:rPr>
              <w:t xml:space="preserve">件：该软件制造商需拥有“三维设计、分析、加工（CAD／CAE／CAM软件）”的软件产品，学校可利用三维软件产品搭建虚拟环境，实现使用PLC仿真系统控制生产过程的虚拟调试；该软件产品在设计方面：如级进模设计、人机工程、电极设计、一体化设计方案、船舶结构细节设计、焊接基础结构设计、电缆布线、注塑、结构、工程模具设计；仿真设计方面；如流体、静力学、动力学、运动、高级热、空间热、电子系统冷却分析、模拟、分析；加工方面：如三轴、四轴、五轴、叶轮五轴联动；四轴线切割加工能力以及开放的后置处理程序方面都具备处置调试能力。</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12）模型仿真分析：可以根据模型仿真的结果用甘特图来显示生产计划,应包括生产计划的时间顺序,资源使用的时间序列。从而可以分析资源的占用情况,生产计划安排的合理性。</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13）能够与三维软件无缝集成：可读取 JT 轻量化模型数据,实现工厂设备的三维可视化。</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14）能够完成电焊工艺设计和离线编程：能够输出主流机器(ABB/KUKA/FANUC)可识别的离线程序碰撞。</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人机工程：该系统对生产过程中的人因工程分析，通过参照标准人体动作库对人体视线、部位姿态、工具操作、工作运动空间等分析，实现工作中人员舒适度分析、疲劳强度分析、生产安全性分析、关键操作力量分析等深入量化分析，准确计算人员操作时间和效率， 分析人员工作以及人机协同工作的效率和安全性。</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16）语言切换：该软件应支持中文、英文、德文、日文等多种软件语言。</w:t>
            </w:r>
            <w:r/>
          </w:p>
          <w:p>
            <w:pPr>
              <w:jc w:val="left"/>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◆4.3.4配套工业机器人供料罐装工作站各实训模块3D模型，并完成相应的仿真实训。</w:t>
            </w:r>
            <w:r/>
          </w:p>
          <w:p>
            <w:pPr>
              <w:jc w:val="left"/>
              <w:widowControl/>
              <w:rPr>
                <w:rFonts w:hint="eastAsia" w:ascii="宋体" w:hAnsi="宋体" w:eastAsia="宋体" w:cs="宋体"/>
                <w:b/>
                <w:bCs/>
                <w:color w:val="0000ff"/>
                <w:sz w:val="24"/>
                <w:szCs w:val="24"/>
                <w:highlight w:val="none"/>
                <w:lang w:eastAsia="zh-CN"/>
              </w:rPr>
            </w:pPr>
            <w:r>
              <w:rPr>
                <w:rFonts w:hint="eastAsia" w:ascii="宋体" w:hAnsi="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需提供满足工业机器人供料罐装工作站各实训模块功能界面截图</w:t>
            </w:r>
            <w:r>
              <w:rPr>
                <w:rFonts w:hint="eastAsia" w:ascii="宋体" w:hAnsi="宋体" w:cs="宋体"/>
                <w:b/>
                <w:bCs/>
                <w:color w:val="0000ff"/>
                <w:sz w:val="24"/>
                <w:szCs w:val="24"/>
                <w:highlight w:val="none"/>
                <w:lang w:eastAsia="zh-CN"/>
              </w:rPr>
              <w:t xml:space="preserve">。</w:t>
            </w:r>
            <w:r/>
          </w:p>
          <w:p>
            <w:pPr>
              <w:rPr>
                <w:rFonts w:hint="eastAsia" w:ascii="宋体" w:hAnsi="宋体" w:eastAsia="宋体" w:cs="宋体"/>
                <w:b/>
                <w:bCs/>
                <w:color w:val="0000ff"/>
                <w:sz w:val="24"/>
                <w:szCs w:val="24"/>
                <w:highlight w:val="none"/>
              </w:rPr>
            </w:pPr>
            <w:r>
              <w:rPr>
                <w:rFonts w:hint="eastAsia" w:ascii="宋体" w:hAnsi="宋体" w:eastAsia="宋体" w:cs="宋体"/>
                <w:b/>
                <w:color w:val="0000ff"/>
                <w:sz w:val="24"/>
                <w:szCs w:val="24"/>
                <w:highlight w:val="none"/>
              </w:rPr>
              <w:t xml:space="preserve">▲</w:t>
            </w:r>
            <w:r>
              <w:rPr>
                <w:rFonts w:hint="eastAsia" w:ascii="宋体" w:hAnsi="宋体" w:eastAsia="宋体" w:cs="宋体"/>
                <w:b/>
                <w:bCs/>
                <w:color w:val="0000ff"/>
                <w:sz w:val="24"/>
                <w:szCs w:val="24"/>
                <w:highlight w:val="none"/>
              </w:rPr>
              <w:t xml:space="preserve">三、可扩展设备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可扩展设备应采用虚拟仿真的形式体现。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虚拟平台应主要由贴标检测模型站、包装模型站、包装成品仓储模型站组成。</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3.1贴标检测模型站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应由台体、标签机、贴标机械手、视觉检测模块、贴标废品梳理机械手、废品收纳盒、接驳模块、输送机模块1等构成。</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3.2.包装模型站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应由台体、包装盒放置架、机械手、包装盒、输送机模块2等构成。</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3.3.包装成品仓储模型站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应由台体、包装成品仓储架、包装仓储机械手、输送机模块2等构成</w:t>
            </w:r>
            <w:r/>
          </w:p>
          <w:p>
            <w:pPr>
              <w:pStyle w:val="653"/>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需有扩展设备各流程的说明，提供以上</w:t>
            </w:r>
            <w:r>
              <w:rPr>
                <w:rFonts w:hint="eastAsia" w:ascii="宋体" w:hAnsi="宋体" w:eastAsia="宋体" w:cs="宋体"/>
                <w:b/>
                <w:bCs/>
                <w:color w:val="0000ff"/>
                <w:sz w:val="24"/>
                <w:szCs w:val="24"/>
                <w:highlight w:val="none"/>
                <w:lang w:val="en-US" w:eastAsia="zh-CN"/>
              </w:rPr>
              <w:t xml:space="preserve">任一模型站的完整</w:t>
            </w:r>
            <w:r>
              <w:rPr>
                <w:rFonts w:hint="eastAsia" w:ascii="宋体" w:hAnsi="宋体" w:eastAsia="宋体" w:cs="宋体"/>
                <w:b/>
                <w:bCs/>
                <w:color w:val="0000ff"/>
                <w:sz w:val="24"/>
                <w:szCs w:val="24"/>
                <w:highlight w:val="none"/>
              </w:rPr>
              <w:t xml:space="preserve">虚拟仿真动作流程动画视频</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如</w:t>
            </w:r>
            <w:r>
              <w:rPr>
                <w:rFonts w:hint="eastAsia" w:ascii="宋体" w:hAnsi="宋体" w:eastAsia="宋体" w:cs="宋体"/>
                <w:b/>
                <w:bCs/>
                <w:color w:val="0000ff"/>
                <w:sz w:val="24"/>
                <w:szCs w:val="24"/>
                <w:highlight w:val="none"/>
              </w:rPr>
              <w:t xml:space="preserve">包装成品仓储模型站。</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四、可完成的考核设计任务</w:t>
            </w:r>
            <w:r/>
          </w:p>
          <w:p>
            <w:pPr>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第一节、机器人实训</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工业机器人本体与控制器的安装接线；</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工业机器人初始化与参数恢复；</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工业机器人示教器的安装</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工业机器人末端工具的安装</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工业机器人参数的设置</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工业机器人运行模式及手动速度的实训</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工业机器人常用信息的查看</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工业机器人编程指令介绍</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工业机器人程序的备份及恢复</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工业机器人坐标系的标定的实训</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工业机器人故障诊断与维护</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工业机器人与PLC的IO通讯</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工业机器人操作与编程；</w:t>
            </w:r>
            <w:r/>
          </w:p>
          <w:p>
            <w:pPr>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第二节、电气应用实训</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电气图纸的识读的实训</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气动电路接管和电气连线</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多种传感器的应用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气动技术应用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PLC的安装与应用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RFID的安装与应用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HMI组态监控与界面设计技术</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主要种类电机驱动技术的应用；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运动控制系统的应用；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RFID应用技术；</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MES系统的应用；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工业自动化网路的应用；</w:t>
            </w:r>
            <w:r/>
          </w:p>
          <w:p>
            <w:pPr>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第三节、设备通讯应用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检测开关的应用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触摸屏与PLC通讯</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PLC与RFID的MOUDLEBUS通信；</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PLC与PLC之间的Profinet通信；</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MES与PLC之间的通信；</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总线通信技术的应用；</w:t>
            </w:r>
            <w:r/>
          </w:p>
          <w:p>
            <w:pPr>
              <w:pStyle w:val="866"/>
              <w:ind w:left="48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第四节、工业数字孪生应用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产品建模应用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数字化3D模型搭建与布局</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基本机电对象与常见运动副设置与应用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常见传感器信号与信号适配器设置与应用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仿真软件与虚拟 PLC 虚拟调试应用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仿真软件与实际 PLC(实体设备)虚实调试应用</w:t>
            </w:r>
            <w:r/>
          </w:p>
          <w:p>
            <w:pPr>
              <w:pStyle w:val="866"/>
              <w:numPr>
                <w:ilvl w:val="0"/>
                <w:numId w:val="1"/>
              </w:num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机电一体化协同仿真：机械干涉，机构运动学验证，机构动力学验证；</w:t>
            </w:r>
            <w:r/>
          </w:p>
        </w:tc>
        <w:tc>
          <w:tcPr>
            <w:tcW w:w="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shd w:val="clear" w:color="auto" w:fill="auto"/>
            <w:tcW w:w="75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0"/>
        </w:trPr>
        <w:tc>
          <w:tcPr>
            <w:shd w:val="clear" w:color="auto" w:fill="auto"/>
            <w:tcW w:w="60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auto" w:fill="auto"/>
            <w:tcW w:w="934" w:type="dxa"/>
            <w:vAlign w:val="center"/>
            <w:textDirection w:val="lrTb"/>
            <w:noWrap w:val="false"/>
          </w:tcPr>
          <w:p>
            <w:pPr>
              <w:pStyle w:val="636"/>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复合机器人</w:t>
            </w:r>
            <w:r/>
          </w:p>
        </w:tc>
        <w:tc>
          <w:tcPr>
            <w:shd w:val="clear" w:color="auto" w:fill="auto"/>
            <w:tcW w:w="6934" w:type="dxa"/>
            <w:textDirection w:val="lrTb"/>
            <w:noWrap w:val="false"/>
          </w:tcPr>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一、总体要求：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主要由</w:t>
            </w:r>
            <w:r>
              <w:rPr>
                <w:rFonts w:hint="eastAsia" w:ascii="宋体" w:hAnsi="宋体" w:eastAsia="宋体" w:cs="宋体"/>
                <w:b/>
                <w:bCs/>
                <w:color w:val="000000" w:themeColor="text1"/>
                <w:sz w:val="24"/>
                <w:szCs w:val="24"/>
                <w:highlight w:val="none"/>
                <w14:textFill>
                  <w14:solidFill>
                    <w14:schemeClr w14:val="tx1"/>
                  </w14:solidFill>
                </w14:textFill>
              </w:rPr>
              <w:t xml:space="preserve">移动机器人、协作机器人、末端工具组成。</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1.移动机器人</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主要技术参数：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（1）最大载重：≥300kg；（2）最大速度：≥1.2m/s；</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（3）爬坡能力：5°</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；（4）导航精度：±10mm；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（5）精准对接精度：±5mm；（6）旋转直径：≥φ800mm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（7）扩展接口:USB。</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2.协作机器人</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机构：多关节型机器人</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控制轴数：6轴；可达半径：≥920mm；负载：5kg</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重复定位精度：≤±0.1mm；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动作范围（最高速度）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基座：±175°（±180°/s）；肩部：+85/-265°（±180°/s）</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肘部：±160°（±180°/s）；腕部1：+85/-265°（±180°/s）</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腕部2：±175°（±180°/s）；腕部3：±175°（±180°/s）</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机器人本体质量：约22Kg；防护等级：IP54</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3.末端工具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开口尺寸：≥70mm；重量：≤223g</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夹持力：0-15N</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力控精度：≤±1N</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重复定位精度：±0.5mm</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夹持力调整：±1N</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最大速度：≥97mm/s</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二、设备功能及流程：</w:t>
            </w:r>
            <w:r/>
          </w:p>
          <w:p>
            <w:pPr>
              <w:pStyle w:val="636"/>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复合机器人用于串联机器人系统集成平台和工业机器人供料罐装工作站，负责将机器人系统集成平台加工完成后的瓶盖转运至工业机器人供料灌装工作站的装配工作位，由六轴工业机器人在智能视觉的指引下完成瓶体加盖工作任务，并最终完成瓶体入库任务。</w:t>
            </w:r>
            <w:r/>
          </w:p>
          <w:p>
            <w:pPr>
              <w:numPr>
                <w:ilvl w:val="0"/>
                <w:numId w:val="2"/>
              </w:num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可完成的工作任务</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AGV路径规划实训任务；</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AGV参数配置实训工作任务；</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AGV与协作机器人的通讯设置工作任务；</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协作机器人定点示教工作任务；</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协作机器人初始化与参数恢复；</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协作机器人示教器的安装；</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协作机器人末端工具的安装；</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协作机器人参数的设置；</w:t>
            </w:r>
            <w:r/>
          </w:p>
          <w:p>
            <w:pPr>
              <w:pStyle w:val="636"/>
              <w:numPr>
                <w:ilvl w:val="0"/>
                <w:numId w:val="3"/>
              </w:numPr>
              <w:jc w:val="left"/>
              <w:spacing w:before="0" w:after="0" w:line="24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协作机器人运行模式及手动速度的实训；</w:t>
            </w:r>
            <w:r/>
          </w:p>
          <w:p>
            <w:pPr>
              <w:numPr>
                <w:ilvl w:val="0"/>
                <w:numId w:val="3"/>
              </w:num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复合机器人与工业机器人供料罐装工作站通讯工作任务；</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11）复合机器人与机器人系统集成平台通讯工作任务。</w:t>
            </w:r>
            <w:r/>
          </w:p>
        </w:tc>
        <w:tc>
          <w:tcPr>
            <w:tcW w:w="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套</w:t>
            </w:r>
            <w:r/>
          </w:p>
        </w:tc>
        <w:tc>
          <w:tcPr>
            <w:shd w:val="clear" w:color="auto" w:fill="auto"/>
            <w:tcW w:w="75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bl>
    <w:p>
      <w:pPr>
        <w:ind w:firstLine="482"/>
        <w:jc w:val="left"/>
        <w:keepLines w:val="0"/>
        <w:keepNext w:val="0"/>
        <w:pageBreakBefore w:val="0"/>
        <w:spacing w:line="480" w:lineRule="exact"/>
        <w:widowControl/>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三、基础图纸下载链接</w:t>
      </w:r>
      <w:r/>
    </w:p>
    <w:p>
      <w:pPr>
        <w:ind w:left="0" w:right="0" w:firstLine="420"/>
        <w:jc w:val="both"/>
        <w:spacing w:before="0" w:after="0" w:line="479" w:lineRule="atLeast"/>
        <w:rPr>
          <w:rFonts w:ascii="宋体" w:hAnsi="宋体" w:eastAsia="宋体" w:cs="宋体"/>
          <w:color w:val="0000ff"/>
          <w:sz w:val="24"/>
          <w:szCs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ff"/>
          <w:sz w:val="24"/>
          <w:highlight w:val="none"/>
          <w:u w:val="none"/>
        </w:rPr>
        <w:t xml:space="preserve">链接:</w:t>
      </w:r>
      <w:r>
        <w:rPr>
          <w:rFonts w:ascii="宋体" w:hAnsi="宋体" w:eastAsia="宋体" w:cs="宋体"/>
          <w:color w:val="0000ff"/>
          <w:sz w:val="24"/>
          <w:highlight w:val="none"/>
          <w:u w:val="none"/>
        </w:rPr>
        <w:t xml:space="preserve"> https://pan.baidu.com/s/1m-ZFKv7RWK3HqjH2EHxEqQ?pwd=krgy </w:t>
      </w:r>
      <w:r/>
    </w:p>
    <w:p>
      <w:pPr>
        <w:ind w:left="0" w:right="0" w:firstLine="420"/>
        <w:jc w:val="both"/>
        <w:spacing w:before="0" w:after="0" w:line="479" w:lineRule="atLeast"/>
        <w:rPr>
          <w:color w:val="0000ff"/>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ff"/>
          <w:sz w:val="24"/>
          <w:highlight w:val="none"/>
          <w:u w:val="none"/>
        </w:rPr>
        <w:t xml:space="preserve">提取码:</w:t>
      </w:r>
      <w:r>
        <w:rPr>
          <w:rFonts w:ascii="宋体" w:hAnsi="宋体" w:eastAsia="宋体" w:cs="宋体"/>
          <w:color w:val="0000ff"/>
          <w:sz w:val="24"/>
          <w:highlight w:val="none"/>
          <w:u w:val="none"/>
        </w:rPr>
        <w:t xml:space="preserve"> krgy</w:t>
      </w:r>
      <w:r/>
    </w:p>
    <w:p>
      <w:pPr>
        <w:ind w:firstLine="482"/>
        <w:jc w:val="left"/>
        <w:keepLines w:val="0"/>
        <w:keepNext w:val="0"/>
        <w:pageBreakBefore w:val="0"/>
        <w:spacing w:line="480" w:lineRule="exact"/>
        <w:widowControl/>
        <w:rPr>
          <w:rFonts w:hint="eastAsia" w:ascii="宋体" w:hAnsi="宋体" w:cs="宋体"/>
          <w:b/>
          <w:bCs/>
          <w:sz w:val="24"/>
          <w:szCs w:val="24"/>
          <w:highlight w:val="none"/>
          <w:lang w:eastAsia="zh-CN"/>
          <w14:ligatures w14:val="none"/>
        </w:rPr>
      </w:pP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商务要求</w:t>
      </w:r>
      <w:r/>
    </w:p>
    <w:p>
      <w:pPr>
        <w:ind w:firstLine="460"/>
        <w:spacing w:line="500" w:lineRule="exact"/>
        <w:rPr>
          <w:rFonts w:hint="eastAsia" w:ascii="宋体" w:hAnsi="宋体" w:eastAsia="宋体" w:cs="宋体"/>
          <w:b w:val="0"/>
          <w:bCs w:val="0"/>
          <w:i w:val="0"/>
          <w:iCs w:val="0"/>
          <w:spacing w:val="-5"/>
          <w:sz w:val="24"/>
          <w:u w:val="single"/>
          <w:lang w:eastAsia="zh-CN"/>
        </w:rPr>
      </w:pPr>
      <w:r>
        <w:rPr>
          <w:rFonts w:hint="eastAsia" w:ascii="宋体" w:hAnsi="宋体" w:eastAsia="宋体" w:cs="宋体"/>
          <w:b w:val="0"/>
          <w:bCs w:val="0"/>
          <w:i w:val="0"/>
          <w:iCs w:val="0"/>
          <w:spacing w:val="-5"/>
          <w:sz w:val="24"/>
          <w:u w:val="single"/>
          <w:lang w:val="en-US" w:eastAsia="zh-CN"/>
        </w:rPr>
        <w:t xml:space="preserve">1.</w:t>
      </w:r>
      <w:r>
        <w:rPr>
          <w:rFonts w:hint="eastAsia" w:ascii="宋体" w:hAnsi="宋体" w:eastAsia="宋体" w:cs="宋体"/>
          <w:b w:val="0"/>
          <w:bCs w:val="0"/>
          <w:i w:val="0"/>
          <w:iCs w:val="0"/>
          <w:spacing w:val="-5"/>
          <w:sz w:val="24"/>
          <w:u w:val="single"/>
          <w:lang w:eastAsia="zh-CN"/>
        </w:rPr>
        <w:t xml:space="preserve">签订合同前,中标</w:t>
      </w:r>
      <w:r>
        <w:rPr>
          <w:rFonts w:hint="eastAsia" w:ascii="宋体" w:hAnsi="宋体" w:eastAsia="宋体" w:cs="宋体"/>
          <w:b w:val="0"/>
          <w:bCs w:val="0"/>
          <w:i w:val="0"/>
          <w:iCs w:val="0"/>
          <w:spacing w:val="-5"/>
          <w:sz w:val="24"/>
          <w:u w:val="single"/>
          <w:lang w:val="en-US" w:eastAsia="zh-CN"/>
        </w:rPr>
        <w:t xml:space="preserve">供应商</w:t>
      </w:r>
      <w:r>
        <w:rPr>
          <w:rFonts w:hint="eastAsia" w:ascii="宋体" w:hAnsi="宋体" w:eastAsia="宋体" w:cs="宋体"/>
          <w:b w:val="0"/>
          <w:bCs w:val="0"/>
          <w:i w:val="0"/>
          <w:iCs w:val="0"/>
          <w:spacing w:val="-5"/>
          <w:sz w:val="24"/>
          <w:u w:val="single"/>
          <w:lang w:eastAsia="zh-CN"/>
        </w:rPr>
        <w:t xml:space="preserve">需根据</w:t>
      </w:r>
      <w:r>
        <w:rPr>
          <w:rFonts w:hint="eastAsia" w:ascii="宋体" w:hAnsi="宋体" w:eastAsia="宋体" w:cs="宋体"/>
          <w:b w:val="0"/>
          <w:bCs w:val="0"/>
          <w:i w:val="0"/>
          <w:iCs w:val="0"/>
          <w:spacing w:val="-5"/>
          <w:sz w:val="24"/>
          <w:u w:val="single"/>
          <w:lang w:val="en-US" w:eastAsia="zh-CN"/>
        </w:rPr>
        <w:t xml:space="preserve">采购人</w:t>
      </w:r>
      <w:r>
        <w:rPr>
          <w:rFonts w:hint="eastAsia" w:ascii="宋体" w:hAnsi="宋体" w:eastAsia="宋体" w:cs="宋体"/>
          <w:b w:val="0"/>
          <w:bCs w:val="0"/>
          <w:i w:val="0"/>
          <w:iCs w:val="0"/>
          <w:spacing w:val="-5"/>
          <w:sz w:val="24"/>
          <w:u w:val="single"/>
          <w:lang w:eastAsia="zh-CN"/>
        </w:rPr>
        <w:t xml:space="preserve">要求提供相关</w:t>
      </w:r>
      <w:r>
        <w:rPr>
          <w:rFonts w:hint="eastAsia" w:ascii="宋体" w:hAnsi="宋体" w:cs="宋体"/>
          <w:b w:val="0"/>
          <w:bCs w:val="0"/>
          <w:i w:val="0"/>
          <w:iCs w:val="0"/>
          <w:spacing w:val="-5"/>
          <w:sz w:val="24"/>
          <w:u w:val="single"/>
          <w:lang w:val="en-US" w:eastAsia="zh-CN"/>
        </w:rPr>
        <w:t xml:space="preserve">软件</w:t>
      </w:r>
      <w:r>
        <w:rPr>
          <w:rFonts w:hint="eastAsia" w:ascii="宋体" w:hAnsi="宋体" w:eastAsia="宋体" w:cs="宋体"/>
          <w:b w:val="0"/>
          <w:bCs w:val="0"/>
          <w:i w:val="0"/>
          <w:iCs w:val="0"/>
          <w:spacing w:val="-5"/>
          <w:sz w:val="24"/>
          <w:u w:val="single"/>
          <w:lang w:eastAsia="zh-CN"/>
        </w:rPr>
        <w:t xml:space="preserve">功能</w:t>
      </w:r>
      <w:r>
        <w:rPr>
          <w:rFonts w:hint="eastAsia" w:ascii="宋体" w:hAnsi="宋体" w:cs="宋体"/>
          <w:b w:val="0"/>
          <w:bCs w:val="0"/>
          <w:i w:val="0"/>
          <w:iCs w:val="0"/>
          <w:spacing w:val="-5"/>
          <w:sz w:val="24"/>
          <w:u w:val="single"/>
          <w:lang w:val="en-US" w:eastAsia="zh-CN"/>
        </w:rPr>
        <w:t xml:space="preserve">测试及软件著作权证明材料等</w:t>
      </w:r>
      <w:r>
        <w:rPr>
          <w:rFonts w:hint="eastAsia" w:ascii="宋体" w:hAnsi="宋体" w:eastAsia="宋体" w:cs="宋体"/>
          <w:b w:val="0"/>
          <w:bCs w:val="0"/>
          <w:i w:val="0"/>
          <w:iCs w:val="0"/>
          <w:spacing w:val="-5"/>
          <w:sz w:val="24"/>
          <w:u w:val="single"/>
          <w:lang w:eastAsia="zh-CN"/>
        </w:rPr>
        <w:t xml:space="preserve">供</w:t>
      </w:r>
      <w:r>
        <w:rPr>
          <w:rFonts w:hint="eastAsia" w:ascii="宋体" w:hAnsi="宋体" w:eastAsia="宋体" w:cs="宋体"/>
          <w:b w:val="0"/>
          <w:bCs w:val="0"/>
          <w:i w:val="0"/>
          <w:iCs w:val="0"/>
          <w:spacing w:val="-5"/>
          <w:sz w:val="24"/>
          <w:u w:val="single"/>
          <w:lang w:val="en-US" w:eastAsia="zh-CN"/>
        </w:rPr>
        <w:t xml:space="preserve">采购人</w:t>
      </w:r>
      <w:r>
        <w:rPr>
          <w:rFonts w:hint="eastAsia" w:ascii="宋体" w:hAnsi="宋体" w:cs="宋体"/>
          <w:b w:val="0"/>
          <w:bCs w:val="0"/>
          <w:i w:val="0"/>
          <w:iCs w:val="0"/>
          <w:spacing w:val="-5"/>
          <w:sz w:val="24"/>
          <w:u w:val="single"/>
          <w:lang w:val="en-US" w:eastAsia="zh-CN"/>
        </w:rPr>
        <w:t xml:space="preserve">核查</w:t>
      </w:r>
      <w:r>
        <w:rPr>
          <w:rFonts w:hint="eastAsia" w:ascii="宋体" w:hAnsi="宋体" w:eastAsia="宋体" w:cs="宋体"/>
          <w:b w:val="0"/>
          <w:bCs w:val="0"/>
          <w:i w:val="0"/>
          <w:iCs w:val="0"/>
          <w:spacing w:val="-5"/>
          <w:sz w:val="24"/>
          <w:u w:val="single"/>
          <w:lang w:eastAsia="zh-CN"/>
        </w:rPr>
        <w:t xml:space="preserve">。</w:t>
      </w:r>
      <w:r/>
    </w:p>
    <w:p>
      <w:pPr>
        <w:ind w:firstLine="460"/>
        <w:spacing w:line="500" w:lineRule="exact"/>
        <w:rPr>
          <w:rFonts w:hint="eastAsia" w:ascii="宋体" w:hAnsi="宋体" w:eastAsia="宋体" w:cs="宋体"/>
          <w:b w:val="0"/>
          <w:bCs w:val="0"/>
          <w:i w:val="0"/>
          <w:iCs w:val="0"/>
          <w:spacing w:val="-5"/>
          <w:sz w:val="24"/>
          <w:u w:val="none"/>
        </w:rPr>
      </w:pPr>
      <w:r>
        <w:rPr>
          <w:rFonts w:hint="eastAsia" w:ascii="宋体" w:hAnsi="宋体" w:cs="宋体"/>
          <w:b w:val="0"/>
          <w:bCs w:val="0"/>
          <w:i w:val="0"/>
          <w:iCs w:val="0"/>
          <w:spacing w:val="-5"/>
          <w:sz w:val="24"/>
          <w:u w:val="none"/>
          <w:lang w:val="en-US" w:eastAsia="zh-CN"/>
        </w:rPr>
        <w:t xml:space="preserve">2.</w:t>
      </w:r>
      <w:r>
        <w:rPr>
          <w:rFonts w:hint="eastAsia" w:ascii="宋体" w:hAnsi="宋体" w:eastAsia="宋体" w:cs="宋体"/>
          <w:b w:val="0"/>
          <w:bCs w:val="0"/>
          <w:i w:val="0"/>
          <w:iCs w:val="0"/>
          <w:spacing w:val="-5"/>
          <w:sz w:val="24"/>
          <w:u w:val="none"/>
        </w:rPr>
        <w:t xml:space="preserve">交货时</w:t>
      </w:r>
      <w:r>
        <w:rPr>
          <w:rFonts w:hint="eastAsia" w:ascii="宋体" w:hAnsi="宋体" w:eastAsia="宋体" w:cs="宋体"/>
          <w:b w:val="0"/>
          <w:bCs w:val="0"/>
          <w:i w:val="0"/>
          <w:iCs w:val="0"/>
          <w:color w:val="auto"/>
          <w:spacing w:val="-5"/>
          <w:sz w:val="24"/>
          <w:u w:val="none"/>
        </w:rPr>
        <w:t xml:space="preserve">间：</w:t>
      </w:r>
      <w:r>
        <w:rPr>
          <w:rFonts w:hint="eastAsia" w:ascii="宋体" w:hAnsi="宋体" w:eastAsia="宋体" w:cs="宋体"/>
          <w:color w:val="auto"/>
          <w:sz w:val="24"/>
          <w:szCs w:val="24"/>
          <w:highlight w:val="none"/>
          <w:u w:val="single"/>
          <w:lang w:eastAsia="zh-CN"/>
        </w:rPr>
        <w:t xml:space="preserve">合同签订之日起30日历天内完成测试安装及相关伴随服务</w:t>
      </w:r>
      <w:r>
        <w:rPr>
          <w:rFonts w:hint="eastAsia" w:ascii="宋体" w:hAnsi="宋体" w:eastAsia="宋体" w:cs="宋体"/>
          <w:color w:val="auto"/>
          <w:sz w:val="24"/>
          <w:szCs w:val="24"/>
          <w:highlight w:val="none"/>
          <w:u w:val="single"/>
        </w:rPr>
        <w:t xml:space="preserve">，并通过采购人验收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bCs/>
          <w:color w:val="auto"/>
          <w:sz w:val="24"/>
          <w:szCs w:val="24"/>
          <w:u w:val="single"/>
          <w:lang w:val="en-US" w:eastAsia="zh-CN"/>
        </w:rPr>
        <w:t xml:space="preserve">本项目提供的货物和软件须为当前最新版本，所供货物免费质保期为三年，软件提供终身质保和三年免费升级维护服务，质量保证期从最终验收合格之日起计算</w:t>
      </w:r>
      <w:r>
        <w:rPr>
          <w:rFonts w:hint="eastAsia" w:ascii="宋体" w:hAnsi="宋体" w:cs="宋体"/>
          <w:color w:val="auto"/>
          <w:sz w:val="24"/>
          <w:szCs w:val="24"/>
          <w:highlight w:val="none"/>
          <w:lang w:val="en-US" w:eastAsia="zh-CN"/>
        </w:rPr>
        <w:t xml:space="preserve">。</w:t>
      </w:r>
      <w:r/>
    </w:p>
    <w:p>
      <w:pPr>
        <w:ind w:firstLine="460"/>
        <w:spacing w:line="500" w:lineRule="exact"/>
        <w:rPr>
          <w:rFonts w:hint="eastAsia" w:ascii="宋体" w:hAnsi="宋体" w:eastAsia="宋体" w:cs="宋体"/>
          <w:b w:val="0"/>
          <w:bCs w:val="0"/>
          <w:i w:val="0"/>
          <w:iCs w:val="0"/>
          <w:spacing w:val="-5"/>
          <w:sz w:val="24"/>
          <w:u w:val="none"/>
        </w:rPr>
      </w:pPr>
      <w:r>
        <w:rPr>
          <w:rFonts w:hint="eastAsia" w:ascii="宋体" w:hAnsi="宋体" w:cs="宋体"/>
          <w:b w:val="0"/>
          <w:bCs w:val="0"/>
          <w:i w:val="0"/>
          <w:iCs w:val="0"/>
          <w:spacing w:val="-5"/>
          <w:sz w:val="24"/>
          <w:u w:val="none"/>
          <w:lang w:val="en-US" w:eastAsia="zh-CN"/>
        </w:rPr>
        <w:t xml:space="preserve">3.</w:t>
      </w:r>
      <w:r>
        <w:rPr>
          <w:rFonts w:hint="eastAsia" w:ascii="宋体" w:hAnsi="宋体" w:eastAsia="宋体" w:cs="宋体"/>
          <w:b w:val="0"/>
          <w:bCs w:val="0"/>
          <w:i w:val="0"/>
          <w:iCs w:val="0"/>
          <w:spacing w:val="-5"/>
          <w:sz w:val="24"/>
          <w:u w:val="none"/>
        </w:rPr>
        <w:t xml:space="preserve">交货地点：</w:t>
      </w:r>
      <w:r>
        <w:rPr>
          <w:rFonts w:hint="eastAsia" w:ascii="宋体" w:hAnsi="宋体" w:eastAsia="宋体" w:cs="宋体"/>
          <w:b w:val="0"/>
          <w:bCs w:val="0"/>
          <w:i w:val="0"/>
          <w:iCs w:val="0"/>
          <w:spacing w:val="-5"/>
          <w:sz w:val="24"/>
          <w:u w:val="single"/>
        </w:rPr>
        <w:t xml:space="preserve">江苏省盐城技师学院</w:t>
      </w:r>
      <w:r>
        <w:rPr>
          <w:rFonts w:hint="eastAsia" w:ascii="宋体" w:hAnsi="宋体" w:cs="宋体"/>
          <w:b w:val="0"/>
          <w:bCs w:val="0"/>
          <w:i w:val="0"/>
          <w:iCs w:val="0"/>
          <w:spacing w:val="-5"/>
          <w:sz w:val="24"/>
          <w:u w:val="single"/>
          <w:lang w:eastAsia="zh-CN"/>
        </w:rPr>
        <w:t xml:space="preserve">（</w:t>
      </w:r>
      <w:r>
        <w:rPr>
          <w:rFonts w:hint="eastAsia" w:ascii="宋体" w:hAnsi="宋体" w:cs="宋体"/>
          <w:b w:val="0"/>
          <w:bCs w:val="0"/>
          <w:i w:val="0"/>
          <w:iCs w:val="0"/>
          <w:spacing w:val="-5"/>
          <w:sz w:val="24"/>
          <w:u w:val="single"/>
          <w:lang w:val="en-US" w:eastAsia="zh-CN"/>
        </w:rPr>
        <w:t xml:space="preserve">海洋路校区</w:t>
      </w:r>
      <w:r>
        <w:rPr>
          <w:rFonts w:hint="eastAsia" w:ascii="宋体" w:hAnsi="宋体" w:cs="宋体"/>
          <w:b w:val="0"/>
          <w:bCs w:val="0"/>
          <w:i w:val="0"/>
          <w:iCs w:val="0"/>
          <w:spacing w:val="-5"/>
          <w:sz w:val="24"/>
          <w:u w:val="single"/>
          <w:lang w:eastAsia="zh-CN"/>
        </w:rPr>
        <w:t xml:space="preserve">）</w:t>
      </w:r>
      <w:r>
        <w:rPr>
          <w:rFonts w:hint="eastAsia" w:ascii="宋体" w:hAnsi="宋体" w:eastAsia="宋体" w:cs="宋体"/>
          <w:b w:val="0"/>
          <w:bCs w:val="0"/>
          <w:i w:val="0"/>
          <w:iCs w:val="0"/>
          <w:spacing w:val="-5"/>
          <w:sz w:val="24"/>
          <w:u w:val="single"/>
        </w:rPr>
        <w:t xml:space="preserve">。</w:t>
      </w:r>
      <w:r/>
    </w:p>
    <w:p>
      <w:pPr>
        <w:ind w:firstLine="480"/>
        <w:jc w:val="left"/>
        <w:spacing w:line="440" w:lineRule="exact"/>
        <w:widowControl/>
        <w:rPr>
          <w:rFonts w:hint="eastAsia" w:ascii="宋体" w:hAnsi="宋体" w:cs="宋体"/>
          <w:sz w:val="24"/>
          <w:szCs w:val="22"/>
          <w:u w:val="single"/>
        </w:rPr>
      </w:pPr>
      <w:r>
        <w:rPr>
          <w:rFonts w:hint="eastAsia" w:ascii="宋体" w:hAnsi="宋体" w:cs="宋体"/>
          <w:b w:val="0"/>
          <w:bCs w:val="0"/>
          <w:i w:val="0"/>
          <w:iCs w:val="0"/>
          <w:spacing w:val="-5"/>
          <w:sz w:val="24"/>
          <w:u w:val="none"/>
          <w:lang w:val="en-US" w:eastAsia="zh-CN"/>
        </w:rPr>
        <w:t xml:space="preserve">4.</w:t>
      </w:r>
      <w:r>
        <w:rPr>
          <w:rFonts w:hint="eastAsia" w:ascii="宋体" w:hAnsi="宋体" w:cs="宋体"/>
          <w:sz w:val="24"/>
          <w:szCs w:val="22"/>
        </w:rPr>
        <w:t xml:space="preserve">验收要求</w:t>
      </w:r>
      <w:r>
        <w:rPr>
          <w:rFonts w:hint="eastAsia" w:ascii="宋体" w:hAnsi="宋体" w:cs="宋体"/>
          <w:sz w:val="24"/>
          <w:szCs w:val="22"/>
          <w:lang w:eastAsia="zh-CN"/>
        </w:rPr>
        <w:t xml:space="preserve">：</w:t>
      </w:r>
      <w:r>
        <w:rPr>
          <w:rFonts w:hint="eastAsia" w:ascii="宋体" w:hAnsi="宋体" w:cs="宋体"/>
          <w:sz w:val="24"/>
          <w:szCs w:val="22"/>
          <w:u w:val="single"/>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w:t>
      </w:r>
      <w:r>
        <w:rPr>
          <w:rFonts w:hint="eastAsia" w:ascii="宋体" w:hAnsi="宋体" w:cs="宋体"/>
          <w:sz w:val="24"/>
          <w:szCs w:val="22"/>
          <w:u w:val="single"/>
          <w:lang w:eastAsia="zh-CN"/>
        </w:rPr>
        <w:t xml:space="preserve">，</w:t>
      </w:r>
      <w:r>
        <w:rPr>
          <w:rFonts w:hint="eastAsia" w:ascii="宋体" w:hAnsi="宋体" w:cs="宋体"/>
          <w:sz w:val="24"/>
          <w:szCs w:val="22"/>
          <w:u w:val="single"/>
        </w:rPr>
        <w:t xml:space="preserve">供应商</w:t>
      </w:r>
      <w:r>
        <w:rPr>
          <w:rFonts w:hint="eastAsia" w:ascii="宋体" w:hAnsi="宋体" w:cs="宋体"/>
          <w:sz w:val="24"/>
          <w:szCs w:val="22"/>
          <w:u w:val="single"/>
          <w:lang w:val="en-US" w:eastAsia="zh-CN"/>
        </w:rPr>
        <w:t xml:space="preserve">必须</w:t>
      </w:r>
      <w:r>
        <w:rPr>
          <w:rFonts w:hint="eastAsia" w:ascii="宋体" w:hAnsi="宋体" w:cs="宋体"/>
          <w:sz w:val="24"/>
          <w:szCs w:val="22"/>
          <w:u w:val="single"/>
        </w:rPr>
        <w:t xml:space="preserve">接受采购</w:t>
      </w:r>
      <w:r>
        <w:rPr>
          <w:rFonts w:hint="eastAsia" w:ascii="宋体" w:hAnsi="宋体" w:cs="宋体"/>
          <w:sz w:val="24"/>
          <w:szCs w:val="22"/>
          <w:u w:val="single"/>
          <w:lang w:val="en-US" w:eastAsia="zh-CN"/>
        </w:rPr>
        <w:t xml:space="preserve">单位</w:t>
      </w:r>
      <w:r>
        <w:rPr>
          <w:rFonts w:hint="eastAsia" w:ascii="宋体" w:hAnsi="宋体" w:cs="宋体"/>
          <w:sz w:val="24"/>
          <w:szCs w:val="22"/>
          <w:u w:val="single"/>
        </w:rPr>
        <w:t xml:space="preserve">的监督管理。</w:t>
      </w:r>
      <w:r/>
    </w:p>
    <w:p>
      <w:pPr>
        <w:ind w:firstLine="460"/>
        <w:spacing w:line="500" w:lineRule="exact"/>
        <w:rPr>
          <w:rFonts w:hint="eastAsia" w:ascii="宋体" w:hAnsi="宋体" w:eastAsia="宋体" w:cs="宋体"/>
          <w:b/>
          <w:bCs/>
          <w:i w:val="0"/>
          <w:iCs w:val="0"/>
          <w:color w:val="auto"/>
          <w:spacing w:val="-5"/>
          <w:sz w:val="24"/>
          <w:u w:val="single"/>
          <w:lang w:val="en-US" w:eastAsia="zh-CN"/>
        </w:rPr>
      </w:pPr>
      <w:r>
        <w:rPr>
          <w:rFonts w:hint="eastAsia" w:ascii="宋体" w:hAnsi="宋体" w:eastAsia="宋体" w:cs="宋体"/>
          <w:b/>
          <w:bCs/>
          <w:i w:val="0"/>
          <w:iCs w:val="0"/>
          <w:color w:val="auto"/>
          <w:spacing w:val="-5"/>
          <w:sz w:val="24"/>
          <w:u w:val="none"/>
          <w:lang w:val="en-US" w:eastAsia="zh-CN"/>
        </w:rPr>
        <w:t xml:space="preserve">5.本项目提供的货物和软件须为当前最新版本，所供货物免费质保期为三年，软件提供终身质保和三年免费升级维护服务，质量保证期从最终验收合格之日起计算，具体要求如下：</w:t>
      </w:r>
      <w:r/>
    </w:p>
    <w:p>
      <w:pPr>
        <w:ind w:firstLine="460"/>
        <w:spacing w:line="500" w:lineRule="exact"/>
        <w:rPr>
          <w:rFonts w:hint="eastAsia" w:ascii="宋体" w:hAnsi="宋体" w:eastAsia="宋体" w:cs="宋体"/>
          <w:b/>
          <w:bCs/>
          <w:i w:val="0"/>
          <w:iCs w:val="0"/>
          <w:spacing w:val="-5"/>
          <w:sz w:val="24"/>
          <w:u w:val="single"/>
          <w:lang w:val="en-US" w:eastAsia="zh-CN"/>
        </w:rPr>
      </w:pPr>
      <w:r>
        <w:rPr>
          <w:rFonts w:hint="eastAsia" w:ascii="宋体" w:hAnsi="宋体" w:eastAsia="宋体" w:cs="宋体"/>
          <w:b/>
          <w:bCs/>
          <w:i w:val="0"/>
          <w:iCs w:val="0"/>
          <w:spacing w:val="-5"/>
          <w:sz w:val="24"/>
          <w:u w:val="single"/>
          <w:lang w:val="en-US" w:eastAsia="zh-CN"/>
        </w:rPr>
        <w:t xml:space="preserve">①在质保期内：应按采购人要求免费提供系统版本更新升级服务、系统软件应用和维护技术咨询服务、提供电话或现场技术服务等。中标人须确保7x24小时全天候技术支持，免费质量保证期内货物（软件）一旦出现故障，中标人电话响应时间不超过1小时，如电话沟通不能解决，必须在24小时内到现场解决。</w:t>
      </w:r>
      <w:r/>
    </w:p>
    <w:p>
      <w:pPr>
        <w:ind w:firstLine="460"/>
        <w:spacing w:line="500" w:lineRule="exact"/>
        <w:rPr>
          <w:rFonts w:hint="eastAsia" w:ascii="宋体" w:hAnsi="宋体" w:eastAsia="宋体" w:cs="宋体"/>
          <w:b/>
          <w:bCs/>
          <w:i w:val="0"/>
          <w:iCs w:val="0"/>
          <w:spacing w:val="-5"/>
          <w:sz w:val="24"/>
          <w:u w:val="single"/>
          <w:lang w:val="en-US" w:eastAsia="zh-CN"/>
        </w:rPr>
      </w:pPr>
      <w:r/>
      <w:bookmarkStart w:id="183" w:name="_Hlk110864104"/>
      <w:r>
        <w:rPr>
          <w:rFonts w:hint="eastAsia" w:ascii="宋体" w:hAnsi="宋体" w:eastAsia="宋体" w:cs="宋体"/>
          <w:b/>
          <w:bCs/>
          <w:i w:val="0"/>
          <w:iCs w:val="0"/>
          <w:spacing w:val="-5"/>
          <w:sz w:val="24"/>
          <w:u w:val="single"/>
          <w:lang w:val="en-US" w:eastAsia="zh-CN"/>
        </w:rPr>
        <w:t xml:space="preserve">②质保期</w:t>
      </w:r>
      <w:bookmarkEnd w:id="183"/>
      <w:r>
        <w:rPr>
          <w:rFonts w:hint="eastAsia" w:ascii="宋体" w:hAnsi="宋体" w:eastAsia="宋体" w:cs="宋体"/>
          <w:b/>
          <w:bCs/>
          <w:i w:val="0"/>
          <w:iCs w:val="0"/>
          <w:spacing w:val="-5"/>
          <w:sz w:val="24"/>
          <w:u w:val="single"/>
          <w:lang w:val="en-US" w:eastAsia="zh-CN"/>
        </w:rPr>
        <w:t xml:space="preserve">外：免费质量保证期及软件升级维护服务结束后，中标人仍应对产品提供有偿维护及升级服务，相关服务须满足招标人要求；出现问题时，中标人必须在1小时内电话响应（如电话沟通可以解决则不收取人工服务费），如电话沟通不能解决须在24小时内到现场解决，并保证以不高于行业和市场行情的价格收取成本费用。</w:t>
      </w:r>
      <w:r/>
    </w:p>
    <w:p>
      <w:pPr>
        <w:ind w:firstLine="460"/>
        <w:spacing w:line="500" w:lineRule="exact"/>
        <w:rPr>
          <w:rFonts w:hint="eastAsia" w:ascii="宋体" w:hAnsi="宋体" w:eastAsia="宋体" w:cs="宋体"/>
          <w:b w:val="0"/>
          <w:bCs w:val="0"/>
          <w:i w:val="0"/>
          <w:iCs w:val="0"/>
          <w:color w:val="auto"/>
          <w:spacing w:val="-5"/>
          <w:sz w:val="24"/>
          <w:u w:val="none"/>
        </w:rPr>
      </w:pPr>
      <w:r>
        <w:rPr>
          <w:rFonts w:hint="eastAsia" w:ascii="宋体" w:hAnsi="宋体" w:cs="宋体"/>
          <w:b w:val="0"/>
          <w:bCs w:val="0"/>
          <w:i w:val="0"/>
          <w:iCs w:val="0"/>
          <w:color w:val="auto"/>
          <w:spacing w:val="-5"/>
          <w:sz w:val="24"/>
          <w:u w:val="none"/>
          <w:lang w:val="en-US" w:eastAsia="zh-CN"/>
        </w:rPr>
        <w:t xml:space="preserve">7.</w:t>
      </w:r>
      <w:r>
        <w:rPr>
          <w:rFonts w:hint="eastAsia" w:ascii="宋体" w:hAnsi="宋体" w:eastAsia="宋体" w:cs="宋体"/>
          <w:b w:val="0"/>
          <w:bCs w:val="0"/>
          <w:i w:val="0"/>
          <w:iCs w:val="0"/>
          <w:color w:val="auto"/>
          <w:spacing w:val="-5"/>
          <w:sz w:val="24"/>
          <w:u w:val="none"/>
        </w:rPr>
        <w:t xml:space="preserve">合同款项的支付方式及进度安排：</w:t>
      </w:r>
      <w:r/>
    </w:p>
    <w:p>
      <w:pPr>
        <w:ind w:firstLine="480"/>
        <w:jc w:val="left"/>
        <w:spacing w:line="440" w:lineRule="exact"/>
        <w:widowControl/>
        <w:rPr>
          <w:rFonts w:hint="eastAsia" w:ascii="宋体" w:hAnsi="宋体" w:cs="宋体"/>
          <w:color w:val="auto"/>
          <w:sz w:val="24"/>
          <w:szCs w:val="22"/>
          <w:u w:val="single"/>
        </w:rPr>
      </w:pPr>
      <w:r>
        <w:rPr>
          <w:rFonts w:hint="eastAsia" w:ascii="宋体" w:hAnsi="宋体" w:cs="宋体"/>
          <w:color w:val="auto"/>
          <w:sz w:val="24"/>
          <w:szCs w:val="22"/>
          <w:u w:val="single"/>
        </w:rPr>
        <w:t xml:space="preserve">①自合同签订生效之日起，收到乙方发票10个工作日内，甲方向乙方支付合同总价的</w:t>
      </w:r>
      <w:r>
        <w:rPr>
          <w:rFonts w:hint="eastAsia" w:ascii="宋体" w:hAnsi="宋体" w:cs="宋体"/>
          <w:color w:val="auto"/>
          <w:sz w:val="24"/>
          <w:szCs w:val="22"/>
          <w:u w:val="single"/>
          <w:lang w:val="en-US" w:eastAsia="zh-CN"/>
        </w:rPr>
        <w:t xml:space="preserve">30%</w:t>
      </w:r>
      <w:r>
        <w:rPr>
          <w:rFonts w:hint="eastAsia" w:ascii="宋体" w:hAnsi="宋体" w:cs="宋体"/>
          <w:color w:val="auto"/>
          <w:sz w:val="24"/>
          <w:szCs w:val="22"/>
          <w:u w:val="single"/>
        </w:rPr>
        <w:t xml:space="preserve">款项作为预付款；</w:t>
      </w:r>
      <w:r/>
    </w:p>
    <w:p>
      <w:pPr>
        <w:ind w:firstLine="480"/>
        <w:jc w:val="left"/>
        <w:spacing w:line="440" w:lineRule="exact"/>
        <w:widowControl/>
        <w:rPr>
          <w:rFonts w:hint="eastAsia" w:ascii="宋体" w:hAnsi="宋体" w:cs="宋体"/>
          <w:color w:val="auto"/>
          <w:sz w:val="24"/>
          <w:szCs w:val="22"/>
          <w:u w:val="single"/>
        </w:rPr>
      </w:pPr>
      <w:r>
        <w:rPr>
          <w:rFonts w:hint="eastAsia" w:ascii="宋体" w:hAnsi="宋体" w:cs="宋体"/>
          <w:color w:val="auto"/>
          <w:sz w:val="24"/>
          <w:szCs w:val="22"/>
          <w:u w:val="single"/>
        </w:rPr>
        <w:t xml:space="preserve">②所有货物安装完毕，甲方组织初步验收，初步验收合格后收到乙方发票10个工作日内甲方向乙方支付至合同总价的</w:t>
      </w:r>
      <w:r>
        <w:rPr>
          <w:rFonts w:hint="eastAsia" w:ascii="宋体" w:hAnsi="宋体" w:cs="宋体"/>
          <w:color w:val="auto"/>
          <w:sz w:val="24"/>
          <w:szCs w:val="22"/>
          <w:u w:val="single"/>
          <w:lang w:val="en-US" w:eastAsia="zh-CN"/>
        </w:rPr>
        <w:t xml:space="preserve">90%</w:t>
      </w:r>
      <w:r>
        <w:rPr>
          <w:rFonts w:hint="eastAsia" w:ascii="宋体" w:hAnsi="宋体" w:cs="宋体"/>
          <w:color w:val="auto"/>
          <w:sz w:val="24"/>
          <w:szCs w:val="22"/>
          <w:u w:val="single"/>
        </w:rPr>
        <w:t xml:space="preserve">款项；</w:t>
      </w:r>
      <w:r/>
    </w:p>
    <w:p>
      <w:pPr>
        <w:ind w:firstLine="480"/>
        <w:jc w:val="left"/>
        <w:spacing w:line="440" w:lineRule="exact"/>
        <w:widowControl/>
        <w:rPr>
          <w:rFonts w:hint="eastAsia" w:ascii="宋体" w:hAnsi="宋体" w:cs="宋体"/>
          <w:color w:val="auto"/>
          <w:sz w:val="24"/>
          <w:szCs w:val="22"/>
          <w:u w:val="single"/>
        </w:rPr>
      </w:pPr>
      <w:r>
        <w:rPr>
          <w:rFonts w:hint="eastAsia" w:ascii="宋体" w:hAnsi="宋体" w:cs="宋体"/>
          <w:color w:val="auto"/>
          <w:sz w:val="24"/>
          <w:szCs w:val="22"/>
          <w:u w:val="single"/>
        </w:rPr>
        <w:t xml:space="preserve">③初步验收合格且项目运行满</w:t>
      </w:r>
      <w:r>
        <w:rPr>
          <w:rFonts w:hint="eastAsia" w:ascii="宋体" w:hAnsi="宋体" w:cs="宋体"/>
          <w:color w:val="auto"/>
          <w:sz w:val="24"/>
          <w:szCs w:val="22"/>
          <w:u w:val="single"/>
          <w:lang w:val="en-US" w:eastAsia="zh-CN"/>
        </w:rPr>
        <w:t xml:space="preserve">5</w:t>
      </w:r>
      <w:r>
        <w:rPr>
          <w:rFonts w:hint="eastAsia" w:ascii="宋体" w:hAnsi="宋体" w:cs="宋体"/>
          <w:color w:val="auto"/>
          <w:sz w:val="24"/>
          <w:szCs w:val="22"/>
          <w:u w:val="single"/>
        </w:rPr>
        <w:t xml:space="preserve">个月后，甲方组织最终验收，最终验收合格后收到乙方发票10个工作日内甲方付清货款。</w:t>
      </w:r>
      <w:r/>
    </w:p>
    <w:p>
      <w:pPr>
        <w:ind w:firstLine="482"/>
        <w:jc w:val="left"/>
        <w:keepLines w:val="0"/>
        <w:keepNext w:val="0"/>
        <w:pageBreakBefore w:val="0"/>
        <w:spacing w:line="480" w:lineRule="exact"/>
        <w:widowControl/>
        <w:rPr>
          <w:rFonts w:hint="eastAsia" w:ascii="宋体" w:hAnsi="宋体" w:cs="宋体"/>
          <w:b/>
          <w:bCs/>
          <w:sz w:val="24"/>
          <w:szCs w:val="24"/>
          <w:lang w:eastAsia="zh-CN"/>
          <w14:ligatures w14:val="none"/>
        </w:rPr>
      </w:pPr>
      <w:r>
        <w:rPr>
          <w:rFonts w:hint="eastAsia" w:ascii="宋体" w:hAnsi="宋体" w:cs="宋体"/>
          <w:b/>
          <w:bCs/>
          <w:sz w:val="24"/>
          <w:szCs w:val="24"/>
          <w:lang w:val="en-US" w:eastAsia="zh-CN"/>
        </w:rPr>
        <w:t xml:space="preserve">五、踏勘</w:t>
      </w:r>
      <w:r/>
    </w:p>
    <w:p>
      <w:pPr>
        <w:ind w:firstLine="480"/>
        <w:jc w:val="left"/>
        <w:spacing w:line="440" w:lineRule="exact"/>
        <w:widowControl/>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w:t>
      </w:r>
      <w:r>
        <w:rPr>
          <w:rFonts w:hint="eastAsia" w:ascii="宋体" w:hAnsi="宋体" w:eastAsia="宋体" w:cs="宋体"/>
          <w:b/>
          <w:bCs/>
          <w:color w:val="0000ff"/>
          <w:sz w:val="24"/>
          <w:szCs w:val="24"/>
          <w:u w:val="none"/>
        </w:rPr>
        <w:t xml:space="preserve">供应商在报价时应充分考虑现场实际情况，如有需要，供应商应可自行到项目现场进行踏勘实训场地情况</w:t>
      </w:r>
      <w:r>
        <w:rPr>
          <w:rFonts w:hint="eastAsia" w:ascii="宋体" w:hAnsi="宋体" w:eastAsia="宋体" w:cs="宋体"/>
          <w:sz w:val="24"/>
          <w:szCs w:val="24"/>
          <w:u w:val="none"/>
        </w:rPr>
        <w:t xml:space="preserve">。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w:t>
      </w:r>
      <w:r/>
    </w:p>
    <w:p>
      <w:pPr>
        <w:ind w:firstLine="480"/>
        <w:jc w:val="left"/>
        <w:spacing w:line="440" w:lineRule="exact"/>
        <w:widowControl/>
        <w:rPr>
          <w:rFonts w:hint="eastAsia" w:ascii="宋体" w:hAnsi="宋体" w:eastAsia="宋体" w:cs="宋体"/>
          <w:sz w:val="24"/>
          <w:szCs w:val="24"/>
          <w:u w:val="none"/>
        </w:rPr>
      </w:pPr>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供应商踏勘现场发生的费用自理，供应商自行负责在踏勘现场中所发生的人员伤亡和财产损失。</w:t>
      </w:r>
      <w:r/>
    </w:p>
    <w:p>
      <w:pPr>
        <w:ind w:firstLine="482"/>
        <w:jc w:val="left"/>
        <w:keepLines w:val="0"/>
        <w:keepNext w:val="0"/>
        <w:pageBreakBefore w:val="0"/>
        <w:spacing w:line="480" w:lineRule="exact"/>
        <w:widowControl/>
        <w:rPr>
          <w:rFonts w:hint="eastAsia" w:ascii="宋体" w:hAnsi="宋体" w:cs="宋体"/>
          <w:b/>
          <w:bCs/>
          <w:sz w:val="24"/>
          <w:szCs w:val="24"/>
          <w:lang w:eastAsia="zh-CN"/>
          <w14:ligatures w14:val="none"/>
        </w:rPr>
      </w:pPr>
      <w:r>
        <w:rPr>
          <w:rFonts w:hint="eastAsia" w:ascii="宋体" w:hAnsi="宋体" w:cs="宋体"/>
          <w:b/>
          <w:bCs/>
          <w:sz w:val="24"/>
          <w:szCs w:val="24"/>
          <w:lang w:val="en-US" w:eastAsia="zh-CN"/>
        </w:rPr>
        <w:t xml:space="preserve">六、</w:t>
      </w:r>
      <w:r>
        <w:rPr>
          <w:rFonts w:hint="eastAsia" w:ascii="宋体" w:hAnsi="宋体" w:cs="宋体"/>
          <w:b/>
          <w:bCs/>
          <w:i/>
          <w:iCs/>
          <w:sz w:val="24"/>
          <w:szCs w:val="24"/>
          <w:u w:val="single"/>
          <w:lang w:eastAsia="zh-CN"/>
        </w:rPr>
        <w:t xml:space="preserve">本项目</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不接受</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进口产品投标</w:t>
      </w:r>
      <w:r>
        <w:rPr>
          <w:rFonts w:hint="eastAsia" w:ascii="宋体" w:hAnsi="宋体" w:cs="宋体"/>
          <w:b/>
          <w:bCs/>
          <w:sz w:val="24"/>
          <w:szCs w:val="24"/>
          <w:lang w:eastAsia="zh-CN"/>
        </w:rPr>
        <w:t xml:space="preserve">。</w:t>
      </w:r>
      <w:r/>
    </w:p>
    <w:p>
      <w:pPr>
        <w:ind w:firstLine="482"/>
        <w:jc w:val="left"/>
        <w:keepLines w:val="0"/>
        <w:keepNext w:val="0"/>
        <w:pageBreakBefore w:val="0"/>
        <w:spacing w:line="480" w:lineRule="exact"/>
        <w:widowControl/>
        <w:rPr>
          <w:rFonts w:hint="eastAsia" w:ascii="宋体" w:hAnsi="宋体" w:cs="宋体"/>
          <w:b/>
          <w:bCs/>
          <w:i w:val="0"/>
          <w:iCs w:val="0"/>
          <w:sz w:val="24"/>
          <w:szCs w:val="24"/>
          <w:lang w:eastAsia="zh-CN"/>
          <w14:ligatures w14:val="none"/>
        </w:rPr>
      </w:pPr>
      <w:r>
        <w:rPr>
          <w:rFonts w:hint="eastAsia" w:ascii="宋体" w:hAnsi="宋体" w:cs="宋体"/>
          <w:b/>
          <w:bCs/>
          <w:i w:val="0"/>
          <w:iCs w:val="0"/>
          <w:sz w:val="24"/>
          <w:szCs w:val="24"/>
          <w:lang w:val="en-US" w:eastAsia="zh-CN"/>
        </w:rPr>
        <w:t xml:space="preserve">七、</w:t>
      </w:r>
      <w:r>
        <w:rPr>
          <w:rFonts w:hint="eastAsia" w:ascii="宋体" w:hAnsi="宋体" w:cs="宋体"/>
          <w:b/>
          <w:bCs/>
          <w:i w:val="0"/>
          <w:iCs w:val="0"/>
          <w:sz w:val="24"/>
          <w:szCs w:val="24"/>
          <w:u w:val="single"/>
          <w:lang w:eastAsia="zh-CN"/>
        </w:rPr>
        <w:t xml:space="preserve">采购需求中必须满足的实质性要求</w:t>
      </w:r>
      <w:r>
        <w:rPr>
          <w:rFonts w:hint="eastAsia" w:ascii="宋体" w:hAnsi="宋体" w:cs="宋体"/>
          <w:b/>
          <w:bCs/>
          <w:i w:val="0"/>
          <w:iCs w:val="0"/>
          <w:sz w:val="24"/>
          <w:szCs w:val="24"/>
          <w:lang w:eastAsia="zh-CN"/>
        </w:rPr>
        <w:t xml:space="preserve">：</w:t>
      </w:r>
      <w:r/>
    </w:p>
    <w:p>
      <w:pPr>
        <w:ind w:firstLine="482"/>
        <w:jc w:val="left"/>
        <w:keepLines w:val="0"/>
        <w:keepNext w:val="0"/>
        <w:pageBreakBefore w:val="0"/>
        <w:spacing w:line="480" w:lineRule="exact"/>
        <w:widowControl/>
        <w:rPr>
          <w:rFonts w:hint="eastAsia" w:ascii="宋体" w:hAnsi="宋体" w:eastAsia="宋体" w:cs="宋体"/>
          <w:b w:val="0"/>
          <w:bCs/>
          <w:i/>
          <w:color w:val="0000ff"/>
          <w:sz w:val="24"/>
          <w:szCs w:val="24"/>
          <w:highlight w:val="cyan"/>
          <w:u w:val="single"/>
          <w:lang w:val="en-US" w:eastAsia="zh-CN"/>
        </w:rPr>
      </w:pPr>
      <w:r>
        <w:rPr>
          <w:rFonts w:hint="eastAsia" w:ascii="宋体" w:hAnsi="宋体" w:eastAsia="宋体" w:cs="宋体"/>
          <w:b w:val="0"/>
          <w:bCs/>
          <w:i/>
          <w:color w:val="0000ff"/>
          <w:sz w:val="24"/>
          <w:szCs w:val="24"/>
          <w:highlight w:val="cyan"/>
          <w:u w:val="single"/>
          <w:lang w:val="en-US" w:eastAsia="zh-CN"/>
        </w:rPr>
        <w:t xml:space="preserve">1.采购需求中除评分项外的技术参数要求为实质性要求，投标人应在</w:t>
      </w:r>
      <w:r>
        <w:rPr>
          <w:rFonts w:hint="eastAsia" w:ascii="宋体" w:hAnsi="宋体" w:eastAsia="宋体" w:cs="宋体"/>
          <w:b/>
          <w:bCs w:val="0"/>
          <w:i/>
          <w:color w:val="0000ff"/>
          <w:sz w:val="24"/>
          <w:szCs w:val="24"/>
          <w:highlight w:val="cyan"/>
          <w:u w:val="single"/>
          <w:lang w:val="en-US" w:eastAsia="zh-CN"/>
        </w:rPr>
        <w:t xml:space="preserve">《技术要求响应及偏离表》</w:t>
      </w:r>
      <w:r>
        <w:rPr>
          <w:rFonts w:hint="eastAsia" w:ascii="宋体" w:hAnsi="宋体" w:eastAsia="宋体" w:cs="宋体"/>
          <w:b w:val="0"/>
          <w:bCs/>
          <w:i/>
          <w:color w:val="0000ff"/>
          <w:sz w:val="24"/>
          <w:szCs w:val="24"/>
          <w:highlight w:val="cyan"/>
          <w:u w:val="single"/>
          <w:lang w:val="en-US" w:eastAsia="zh-CN"/>
        </w:rPr>
        <w:t xml:space="preserve">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jc w:val="left"/>
        <w:keepLines w:val="0"/>
        <w:keepNext w:val="0"/>
        <w:pageBreakBefore w:val="0"/>
        <w:spacing w:line="480" w:lineRule="exact"/>
        <w:widowControl/>
        <w:rPr>
          <w:rFonts w:hint="eastAsia" w:ascii="宋体" w:hAnsi="宋体" w:eastAsia="宋体" w:cs="宋体"/>
          <w:b w:val="0"/>
          <w:bCs/>
          <w:i/>
          <w:color w:val="0000ff"/>
          <w:sz w:val="24"/>
          <w:szCs w:val="24"/>
          <w:highlight w:val="none"/>
          <w:u w:val="single"/>
        </w:rPr>
      </w:pPr>
      <w:r>
        <w:rPr>
          <w:rFonts w:hint="eastAsia" w:ascii="宋体" w:hAnsi="宋体" w:cs="宋体"/>
          <w:b w:val="0"/>
          <w:bCs/>
          <w:i/>
          <w:color w:val="0000ff"/>
          <w:sz w:val="24"/>
          <w:szCs w:val="24"/>
          <w:highlight w:val="cyan"/>
          <w:u w:val="single"/>
          <w:lang w:val="en-US" w:eastAsia="zh-CN"/>
        </w:rPr>
        <w:t xml:space="preserve">2</w:t>
      </w:r>
      <w:r>
        <w:rPr>
          <w:rFonts w:hint="eastAsia" w:ascii="宋体" w:hAnsi="宋体" w:eastAsia="宋体" w:cs="宋体"/>
          <w:b w:val="0"/>
          <w:bCs/>
          <w:i/>
          <w:color w:val="0000ff"/>
          <w:sz w:val="24"/>
          <w:szCs w:val="24"/>
          <w:highlight w:val="cyan"/>
          <w:u w:val="single"/>
          <w:lang w:val="en-US" w:eastAsia="zh-CN"/>
        </w:rPr>
        <w:t xml:space="preserve">.商务要求为实质性要求，投标人应在</w:t>
      </w:r>
      <w:r>
        <w:rPr>
          <w:rFonts w:hint="eastAsia" w:ascii="宋体" w:hAnsi="宋体" w:eastAsia="宋体" w:cs="宋体"/>
          <w:b/>
          <w:bCs w:val="0"/>
          <w:i/>
          <w:color w:val="0000ff"/>
          <w:sz w:val="24"/>
          <w:szCs w:val="24"/>
          <w:highlight w:val="cyan"/>
          <w:u w:val="single"/>
          <w:lang w:val="en-US" w:eastAsia="zh-CN"/>
        </w:rPr>
        <w:t xml:space="preserve">《商务要求响应及偏离表》</w:t>
      </w:r>
      <w:r>
        <w:rPr>
          <w:rFonts w:hint="eastAsia" w:ascii="宋体" w:hAnsi="宋体" w:eastAsia="宋体" w:cs="宋体"/>
          <w:b w:val="0"/>
          <w:bCs/>
          <w:i/>
          <w:color w:val="0000ff"/>
          <w:sz w:val="24"/>
          <w:szCs w:val="24"/>
          <w:highlight w:val="cyan"/>
          <w:u w:val="single"/>
          <w:lang w:val="en-US" w:eastAsia="zh-CN"/>
        </w:rPr>
        <w:t xml:space="preserve">列出</w:t>
      </w:r>
      <w:r>
        <w:rPr>
          <w:rFonts w:hint="eastAsia" w:ascii="宋体" w:hAnsi="宋体" w:cs="宋体"/>
          <w:b w:val="0"/>
          <w:bCs/>
          <w:i/>
          <w:color w:val="0000ff"/>
          <w:sz w:val="24"/>
          <w:szCs w:val="24"/>
          <w:highlight w:val="cyan"/>
          <w:u w:val="single"/>
          <w:lang w:val="en-US" w:eastAsia="zh-CN"/>
        </w:rPr>
        <w:t xml:space="preserve">并完全响应招标文件要求，否</w:t>
      </w:r>
      <w:r>
        <w:rPr>
          <w:rFonts w:hint="eastAsia" w:ascii="宋体" w:hAnsi="宋体" w:eastAsia="宋体" w:cs="宋体"/>
          <w:b w:val="0"/>
          <w:bCs/>
          <w:i/>
          <w:color w:val="0000ff"/>
          <w:sz w:val="24"/>
          <w:szCs w:val="24"/>
          <w:highlight w:val="cyan"/>
          <w:u w:val="single"/>
          <w:lang w:val="en-US" w:eastAsia="zh-CN"/>
        </w:rPr>
        <w:t xml:space="preserve">则</w:t>
      </w:r>
      <w:r>
        <w:rPr>
          <w:rFonts w:hint="eastAsia" w:ascii="宋体" w:hAnsi="宋体" w:eastAsia="宋体" w:cs="宋体"/>
          <w:b w:val="0"/>
          <w:bCs/>
          <w:i/>
          <w:color w:val="0000ff"/>
          <w:sz w:val="24"/>
          <w:szCs w:val="24"/>
          <w:highlight w:val="cyan"/>
          <w:u w:val="single"/>
        </w:rPr>
        <w:t xml:space="preserve">将视为未实质性响应采购要求</w:t>
      </w:r>
      <w:r>
        <w:rPr>
          <w:rFonts w:hint="eastAsia" w:ascii="宋体" w:hAnsi="宋体" w:eastAsia="宋体" w:cs="宋体"/>
          <w:b w:val="0"/>
          <w:bCs/>
          <w:i/>
          <w:color w:val="0000ff"/>
          <w:sz w:val="24"/>
          <w:szCs w:val="24"/>
          <w:highlight w:val="cyan"/>
          <w:u w:val="single"/>
          <w:lang w:eastAsia="zh-CN"/>
        </w:rPr>
        <w:t xml:space="preserve">【</w:t>
      </w:r>
      <w:r>
        <w:rPr>
          <w:rFonts w:hint="eastAsia" w:ascii="宋体" w:hAnsi="宋体" w:eastAsia="宋体" w:cs="宋体"/>
          <w:b w:val="0"/>
          <w:bCs/>
          <w:i/>
          <w:color w:val="0000ff"/>
          <w:sz w:val="24"/>
          <w:szCs w:val="24"/>
          <w:highlight w:val="cyan"/>
          <w:u w:val="single"/>
        </w:rPr>
        <w:t xml:space="preserve">供应商完全同意条款（即无偏离）或提出对采购人更有利的条款（即正偏离）都属于响应，供应商不同意某项条款（即负偏离）的属于不响应</w:t>
      </w:r>
      <w:r>
        <w:rPr>
          <w:rFonts w:hint="eastAsia" w:ascii="宋体" w:hAnsi="宋体" w:eastAsia="宋体" w:cs="宋体"/>
          <w:b w:val="0"/>
          <w:bCs/>
          <w:i/>
          <w:color w:val="0000ff"/>
          <w:sz w:val="24"/>
          <w:szCs w:val="24"/>
          <w:highlight w:val="cyan"/>
          <w:u w:val="single"/>
          <w:lang w:eastAsia="zh-CN"/>
        </w:rPr>
        <w:t xml:space="preserve">】，</w:t>
      </w:r>
      <w:r>
        <w:rPr>
          <w:rFonts w:hint="eastAsia" w:ascii="宋体" w:hAnsi="宋体" w:eastAsia="宋体" w:cs="宋体"/>
          <w:b/>
          <w:bCs w:val="0"/>
          <w:i/>
          <w:color w:val="0000ff"/>
          <w:sz w:val="24"/>
          <w:szCs w:val="24"/>
          <w:highlight w:val="cyan"/>
          <w:u w:val="single"/>
          <w:lang w:val="en-US" w:eastAsia="zh-CN"/>
        </w:rPr>
        <w:t xml:space="preserve">按无效响应处理</w:t>
      </w:r>
      <w:r>
        <w:rPr>
          <w:rFonts w:hint="eastAsia" w:ascii="宋体" w:hAnsi="宋体" w:eastAsia="宋体" w:cs="宋体"/>
          <w:b w:val="0"/>
          <w:bCs/>
          <w:i/>
          <w:color w:val="0000ff"/>
          <w:sz w:val="24"/>
          <w:szCs w:val="24"/>
          <w:highlight w:val="cyan"/>
          <w:u w:val="single"/>
        </w:rPr>
        <w:t xml:space="preserve">。</w:t>
      </w:r>
      <w:r/>
    </w:p>
    <w:p>
      <w:pPr>
        <w:ind w:firstLine="482"/>
        <w:jc w:val="left"/>
        <w:keepLines w:val="0"/>
        <w:keepNext w:val="0"/>
        <w:pageBreakBefore w:val="0"/>
        <w:spacing w:line="48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八、其他要求</w:t>
      </w:r>
      <w:r>
        <w:rPr>
          <w:rFonts w:hint="eastAsia" w:ascii="宋体" w:hAnsi="宋体" w:cs="宋体"/>
          <w:b/>
          <w:bCs/>
          <w:sz w:val="24"/>
          <w:szCs w:val="22"/>
          <w:lang w:eastAsia="zh-CN"/>
        </w:rPr>
        <w:t xml:space="preserve">:</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w:t>
      </w:r>
      <w:r>
        <w:rPr>
          <w:rFonts w:hint="eastAsia" w:ascii="宋体" w:hAnsi="宋体" w:cs="宋体"/>
          <w:color w:val="auto"/>
          <w:sz w:val="24"/>
          <w:szCs w:val="22"/>
          <w:lang w:val="en-US" w:eastAsia="zh-CN" w:bidi="ar-SA"/>
        </w:rPr>
        <w:t xml:space="preserve">一</w:t>
      </w:r>
      <w:r>
        <w:rPr>
          <w:rFonts w:hint="eastAsia" w:ascii="宋体" w:hAnsi="宋体" w:eastAsia="宋体" w:cs="宋体"/>
          <w:color w:val="auto"/>
          <w:sz w:val="24"/>
          <w:szCs w:val="22"/>
          <w:lang w:val="en-US" w:eastAsia="zh-CN" w:bidi="ar-SA"/>
        </w:rPr>
        <w:t xml:space="preserve">）投标人自2021年1月1日（以合同签订时间为准）以来，承担过类似</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000000"/>
          <w:sz w:val="24"/>
        </w:rPr>
        <w:t xml:space="preserve">类似项目至少包括</w:t>
      </w:r>
      <w:r>
        <w:rPr>
          <w:rFonts w:hint="eastAsia" w:ascii="宋体" w:hAnsi="宋体" w:eastAsia="宋体" w:cs="宋体"/>
          <w:color w:val="auto"/>
          <w:sz w:val="24"/>
          <w:szCs w:val="24"/>
          <w:highlight w:val="none"/>
          <w:lang w:val="en-US" w:eastAsia="zh-CN"/>
        </w:rPr>
        <w:t xml:space="preserve">工业</w:t>
      </w:r>
      <w:r>
        <w:rPr>
          <w:rFonts w:hint="eastAsia" w:ascii="宋体" w:hAnsi="宋体" w:cs="宋体"/>
          <w:color w:val="auto"/>
          <w:sz w:val="24"/>
          <w:szCs w:val="24"/>
          <w:highlight w:val="none"/>
          <w:lang w:val="en-US" w:eastAsia="zh-CN"/>
        </w:rPr>
        <w:t xml:space="preserve">自动化系统</w:t>
      </w:r>
      <w:r>
        <w:rPr>
          <w:rFonts w:hint="eastAsia" w:ascii="宋体" w:hAnsi="宋体" w:eastAsia="宋体" w:cs="宋体"/>
          <w:color w:val="auto"/>
          <w:sz w:val="24"/>
          <w:szCs w:val="24"/>
          <w:highlight w:val="none"/>
          <w:lang w:val="en-US" w:eastAsia="zh-CN"/>
        </w:rPr>
        <w:t xml:space="preserve">集成或</w:t>
      </w:r>
      <w:r>
        <w:rPr>
          <w:rFonts w:hint="eastAsia" w:ascii="宋体" w:hAnsi="宋体" w:cs="宋体"/>
          <w:color w:val="auto"/>
          <w:sz w:val="24"/>
          <w:szCs w:val="24"/>
          <w:highlight w:val="none"/>
          <w:lang w:val="en-US" w:eastAsia="zh-CN"/>
        </w:rPr>
        <w:t xml:space="preserve">工业机器人应用或智能控制系统运维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2"/>
          <w:lang w:val="en-US" w:eastAsia="zh-CN" w:bidi="ar-SA"/>
        </w:rPr>
        <w:t xml:space="preserve">项目业绩的优先。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w:t>
      </w:r>
      <w:r>
        <w:rPr>
          <w:rFonts w:hint="eastAsia" w:ascii="宋体" w:hAnsi="宋体" w:cs="宋体"/>
          <w:color w:val="auto"/>
          <w:sz w:val="24"/>
          <w:szCs w:val="22"/>
          <w:lang w:val="en-US" w:eastAsia="zh-CN" w:bidi="ar-SA"/>
        </w:rPr>
        <w:t xml:space="preserve">二</w:t>
      </w:r>
      <w:r>
        <w:rPr>
          <w:rFonts w:hint="eastAsia" w:ascii="宋体" w:hAnsi="宋体" w:eastAsia="宋体" w:cs="宋体"/>
          <w:color w:val="auto"/>
          <w:sz w:val="24"/>
          <w:szCs w:val="22"/>
          <w:lang w:val="en-US" w:eastAsia="zh-CN" w:bidi="ar-SA"/>
        </w:rPr>
        <w:t xml:space="preserve">）能够满足本项目“技术参数”中标注“★”和“◆”的技术参数指标的优先；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w:t>
      </w:r>
      <w:r>
        <w:rPr>
          <w:rFonts w:hint="eastAsia" w:ascii="宋体" w:hAnsi="宋体" w:cs="宋体"/>
          <w:color w:val="auto"/>
          <w:sz w:val="24"/>
          <w:szCs w:val="22"/>
          <w:lang w:val="en-US" w:eastAsia="zh-CN" w:bidi="ar-SA"/>
        </w:rPr>
        <w:t xml:space="preserve">三</w:t>
      </w:r>
      <w:r>
        <w:rPr>
          <w:rFonts w:hint="eastAsia" w:ascii="宋体" w:hAnsi="宋体" w:eastAsia="宋体" w:cs="宋体"/>
          <w:color w:val="auto"/>
          <w:sz w:val="24"/>
          <w:szCs w:val="22"/>
          <w:lang w:val="en-US" w:eastAsia="zh-CN" w:bidi="ar-SA"/>
        </w:rPr>
        <w:t xml:space="preserve">）视频演示</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szCs w:val="22"/>
          <w:lang w:val="en-US" w:eastAsia="zh-CN" w:bidi="ar-SA"/>
        </w:rPr>
        <w:t xml:space="preserve">.1供应商根据本项目第四章 机器人系统集成平台“▲5.机加工自动化任务单元”要求提供演示，并满足技术要求的优先；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szCs w:val="22"/>
          <w:lang w:val="en-US" w:eastAsia="zh-CN" w:bidi="ar-SA"/>
        </w:rPr>
        <w:t xml:space="preserve">.2供应商根据本项目第四章 机器人系统集成平台“▲14.4.4数字孪生配套机器人系统集成平台3D仿真模型”要求提供演示，并满足技术要求的优先；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szCs w:val="22"/>
          <w:lang w:val="en-US" w:eastAsia="zh-CN" w:bidi="ar-SA"/>
        </w:rPr>
        <w:t xml:space="preserve">.3供应商根据本项目第四章 工业机器人供料罐装工作站中“▲1.2设备需满足工作流程”要求提供演示，并满足技术要求的优先；</w:t>
      </w:r>
      <w:r/>
    </w:p>
    <w:p>
      <w:pPr>
        <w:ind w:firstLine="482"/>
        <w:jc w:val="left"/>
        <w:keepLines w:val="0"/>
        <w:keepNext w:val="0"/>
        <w:pageBreakBefore w:val="0"/>
        <w:spacing w:line="480" w:lineRule="exact"/>
        <w:widowControl/>
        <w:rPr>
          <w:rFonts w:hint="default"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szCs w:val="22"/>
          <w:lang w:val="en-US" w:eastAsia="zh-CN" w:bidi="ar-SA"/>
        </w:rPr>
        <w:t xml:space="preserve">.4供应商根据本项目第四章 工业机器人供料罐装工作站中“▲三、可扩展设备”要求提供演示，并满足技术要求的优先；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w:t>
      </w:r>
      <w:r>
        <w:rPr>
          <w:rFonts w:hint="eastAsia" w:ascii="宋体" w:hAnsi="宋体" w:cs="宋体"/>
          <w:color w:val="auto"/>
          <w:sz w:val="24"/>
          <w:szCs w:val="22"/>
          <w:lang w:val="en-US" w:eastAsia="zh-CN" w:bidi="ar-SA"/>
        </w:rPr>
        <w:t xml:space="preserve">五</w:t>
      </w:r>
      <w:r>
        <w:rPr>
          <w:rFonts w:hint="eastAsia" w:ascii="宋体" w:hAnsi="宋体" w:eastAsia="宋体" w:cs="宋体"/>
          <w:color w:val="auto"/>
          <w:sz w:val="24"/>
          <w:szCs w:val="22"/>
          <w:lang w:val="en-US" w:eastAsia="zh-CN" w:bidi="ar-SA"/>
        </w:rPr>
        <w:t xml:space="preserve">）项目实施及售后服务方案</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为确保本项目高质量实施及售后服务，投标方需提供完整的实施方案、培训方案及售后服务方案，至少包括以下内容：</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 安装、调试及验收方案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（1）安装计划</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投标方需提交详细的安装实施计划，至少包括以下内容：</w:t>
      </w:r>
      <w:r/>
    </w:p>
    <w:tbl>
      <w:tblPr>
        <w:tblStyle w:val="645"/>
        <w:tblW w:w="48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60"/>
        <w:gridCol w:w="2132"/>
        <w:gridCol w:w="2798"/>
        <w:gridCol w:w="2458"/>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center"/>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阶段</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center"/>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时间安排</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center"/>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主要工作内容</w:t>
            </w:r>
            <w:r/>
          </w:p>
        </w:tc>
        <w:tc>
          <w:tcPr>
            <w:shd w:val="clear" w:color="auto" w:fill="f2f2f2"/>
            <w:tcMar>
              <w:left w:w="180" w:type="dxa"/>
              <w:top w:w="120" w:type="dxa"/>
              <w:right w:w="180" w:type="dxa"/>
              <w:bottom w:w="120" w:type="dxa"/>
            </w:tcMar>
            <w:tcW w:w="1455" w:type="pct"/>
            <w:vAlign w:val="center"/>
            <w:textDirection w:val="lrTb"/>
            <w:noWrap w:val="false"/>
          </w:tcPr>
          <w:p>
            <w:pPr>
              <w:ind w:left="0" w:firstLine="0"/>
              <w:jc w:val="center"/>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交付物</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第一阶段</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设备到货后1-2周内完成</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 设备开箱验收</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基础平台组装</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线路</w:t>
            </w:r>
            <w:r>
              <w:rPr>
                <w:rFonts w:hint="eastAsia" w:ascii="宋体" w:hAnsi="宋体" w:cs="宋体"/>
                <w:color w:val="auto"/>
                <w:sz w:val="24"/>
                <w:szCs w:val="24"/>
                <w:lang w:val="en-US" w:eastAsia="zh-CN"/>
              </w:rPr>
              <w:t xml:space="preserve">布置及系统安装</w:t>
            </w:r>
            <w:r/>
          </w:p>
        </w:tc>
        <w:tc>
          <w:tcPr>
            <w:shd w:val="clear" w:color="auto" w:fill="auto"/>
            <w:tcMar>
              <w:left w:w="180" w:type="dxa"/>
              <w:top w:w="120" w:type="dxa"/>
              <w:right w:w="180" w:type="dxa"/>
              <w:bottom w:w="120" w:type="dxa"/>
            </w:tcMar>
            <w:tcW w:w="1455" w:type="pct"/>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设备验收单、安装进度报告</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第二阶段</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第一阶段完成后1周内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 机器人本体安装与固定</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视觉系统调试</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PLC及IO模块接线</w:t>
            </w:r>
            <w:r/>
          </w:p>
        </w:tc>
        <w:tc>
          <w:tcPr>
            <w:shd w:val="clear" w:color="auto" w:fill="auto"/>
            <w:tcMar>
              <w:left w:w="180" w:type="dxa"/>
              <w:top w:w="120" w:type="dxa"/>
              <w:right w:w="180" w:type="dxa"/>
              <w:bottom w:w="120" w:type="dxa"/>
            </w:tcMar>
            <w:tcW w:w="1455" w:type="pct"/>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调试记录表、设备功能测试报告</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第三阶段</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第二阶段完成后1周内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 系统联调（机器人+PLC+视觉）</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数字孪生软件部署</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安全防护测试</w:t>
            </w:r>
            <w:r/>
          </w:p>
        </w:tc>
        <w:tc>
          <w:tcPr>
            <w:shd w:val="clear" w:color="auto" w:fill="auto"/>
            <w:tcMar>
              <w:left w:w="180" w:type="dxa"/>
              <w:top w:w="120" w:type="dxa"/>
              <w:right w:w="180" w:type="dxa"/>
              <w:bottom w:w="120" w:type="dxa"/>
            </w:tcMar>
            <w:tcW w:w="1455" w:type="pct"/>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联调测试报告、软件部署文档</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第四阶段</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第三阶段完成后2天内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 最终功能验收</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培训环境搭建</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交付验收文档</w:t>
            </w:r>
            <w:r/>
          </w:p>
        </w:tc>
        <w:tc>
          <w:tcPr>
            <w:shd w:val="clear" w:color="auto" w:fill="auto"/>
            <w:tcMar>
              <w:left w:w="180" w:type="dxa"/>
              <w:top w:w="120" w:type="dxa"/>
              <w:right w:w="180" w:type="dxa"/>
              <w:bottom w:w="120" w:type="dxa"/>
            </w:tcMar>
            <w:tcW w:w="1455" w:type="pct"/>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验收报告、培训材料</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（2）安装及维护人员配置</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投标方需提供：</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项目团队组织架构（至少包含）：</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项目经理（1名，全程跟进）</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w:t>
      </w:r>
      <w:r>
        <w:rPr>
          <w:rFonts w:hint="eastAsia" w:ascii="宋体" w:hAnsi="宋体" w:cs="宋体"/>
          <w:color w:val="auto"/>
          <w:sz w:val="24"/>
          <w:szCs w:val="24"/>
          <w:lang w:val="en-US" w:eastAsia="zh-CN"/>
        </w:rPr>
        <w:t xml:space="preserve">电</w:t>
      </w:r>
      <w:r>
        <w:rPr>
          <w:rFonts w:hint="eastAsia" w:ascii="宋体" w:hAnsi="宋体" w:eastAsia="宋体" w:cs="宋体"/>
          <w:color w:val="auto"/>
          <w:sz w:val="24"/>
          <w:szCs w:val="24"/>
          <w:lang w:val="en-US" w:eastAsia="zh-CN"/>
        </w:rPr>
        <w:t xml:space="preserve">工程师（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名，负责设备安装）</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软件工程师（1名，负责数字孪生及MES系统）</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安全专员（1名，负责安全防护测试）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维护人员（质保期内）：</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技术支持（1名，本地化服务）</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远程专家支持（2名，原厂工程师）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（3）调试方案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应包括以下内容：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系统功能调试清单（示例</w:t>
      </w:r>
      <w:r>
        <w:rPr>
          <w:rFonts w:hint="eastAsia" w:ascii="宋体" w:hAnsi="宋体" w:cs="宋体"/>
          <w:color w:val="auto"/>
          <w:sz w:val="24"/>
          <w:szCs w:val="24"/>
          <w:lang w:val="en-US" w:eastAsia="zh-CN"/>
        </w:rPr>
        <w:t xml:space="preserve">，投标人可根据实际设备模块进行细化</w:t>
      </w:r>
      <w:r>
        <w:rPr>
          <w:rFonts w:hint="eastAsia" w:ascii="宋体" w:hAnsi="宋体" w:eastAsia="宋体" w:cs="宋体"/>
          <w:color w:val="auto"/>
          <w:sz w:val="24"/>
          <w:szCs w:val="24"/>
          <w:lang w:val="en-US" w:eastAsia="zh-CN"/>
        </w:rPr>
        <w:t xml:space="preserve">）：</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16"/>
        <w:gridCol w:w="3250"/>
        <w:gridCol w:w="2600"/>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模块</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调试内容</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标准</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工业机器人</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轨迹精度测试</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±0.0</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mm</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视觉系统</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分拣准确率</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≥99%</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PLC控制</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信号响应时间</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≤100ms</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安全防护</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急停响应</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≤0.5s</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性能测试方案</w:t>
      </w:r>
      <w:r>
        <w:rPr>
          <w:rFonts w:hint="eastAsia" w:ascii="宋体" w:hAnsi="宋体" w:cs="宋体"/>
          <w:color w:val="auto"/>
          <w:sz w:val="24"/>
          <w:szCs w:val="24"/>
          <w:lang w:val="en-US" w:eastAsia="zh-CN"/>
        </w:rPr>
        <w:t xml:space="preserve">（至少包括以下内容）</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机器人性能测试：重复定位精度、最大负载测试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视觉系统测试：颜色识别、缺陷检测准确率</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通讯稳定性测试：PLC与机器人、RFID的MODBUS-TCP通讯</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（4）验收依据和技术标准</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需列明：</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国家标准/行业标准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如：GB/T 12642-2013《工业机器人性能规范》</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GB 5226.1-2019《机械电气安全》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ISO 10218-1:2011《工业机器人安全要求》</w:t>
      </w:r>
      <w:r>
        <w:rPr>
          <w:rFonts w:hint="eastAsia" w:ascii="宋体" w:hAnsi="宋体" w:cs="宋体"/>
          <w:color w:val="auto"/>
          <w:sz w:val="24"/>
          <w:szCs w:val="24"/>
          <w:lang w:val="en-US" w:eastAsia="zh-CN"/>
        </w:rPr>
        <w:t xml:space="preserve">等）；</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验收技术指标（关键项</w:t>
      </w:r>
      <w:r>
        <w:rPr>
          <w:rFonts w:hint="eastAsia" w:ascii="宋体" w:hAnsi="宋体" w:cs="宋体"/>
          <w:color w:val="auto"/>
          <w:sz w:val="24"/>
          <w:szCs w:val="24"/>
          <w:lang w:val="en-US" w:eastAsia="zh-CN"/>
        </w:rPr>
        <w:t xml:space="preserve">，投标人可根据实际设备模块进行细化</w:t>
      </w:r>
      <w:r>
        <w:rPr>
          <w:rFonts w:hint="eastAsia" w:ascii="宋体" w:hAnsi="宋体" w:eastAsia="宋体" w:cs="宋体"/>
          <w:color w:val="auto"/>
          <w:sz w:val="24"/>
          <w:szCs w:val="24"/>
          <w:lang w:val="en-US" w:eastAsia="zh-CN"/>
        </w:rPr>
        <w:t xml:space="preserve">）：</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200"/>
        <w:gridCol w:w="3466"/>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项目</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标准</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机器人重复定位精度</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≤±0.0</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mm</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RFID读写成功率</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≥99.9%</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系统联调响应时间</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≤1s</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安全急停响应</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≤0.5s</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（5）验收程序</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应包含：</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验收工作组：由采购方代表、第三方专家、投标方技术负责人组成</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验收流程：</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初验（单机功能测试）→ 联调验收（多设备协同）→ 终验（全流程运行）</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 验收文档：</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设备合格证、检测报告、软件授权文件、培训记录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 验收不通过处理：</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一般问题：3个工作日内整改并复验</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严重问题：7个工作日内更换设备或升级系统</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.2 质量保障与应急服务方案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（1）总体质量目标</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设备一次性验收合格率≥98%</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系统稳定运行率≥99.5%（年均故障≤2次）</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（2）项目实施方案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应包括：</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项目管理：</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采用敏捷开发+瀑布模型结合，每周提交进度报告</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关键节点（如机器人调试、视觉校准）需采购方签字确认</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质量保证：</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硬件：出厂前100%检测（提供检测报告）</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软件：仿真测试覆盖率≥90%</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（3）产品质量保证</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需提供：</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质保期限：</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硬件3年质保（含人工+备件）</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w:t>
      </w:r>
      <w:r>
        <w:rPr>
          <w:rFonts w:hint="eastAsia" w:ascii="宋体" w:hAnsi="宋体" w:cs="宋体"/>
          <w:color w:val="auto"/>
          <w:sz w:val="24"/>
          <w:szCs w:val="24"/>
          <w:lang w:val="en-US" w:eastAsia="zh-CN"/>
        </w:rPr>
        <w:t xml:space="preserve">运维服务期内</w:t>
      </w:r>
      <w:r>
        <w:rPr>
          <w:rFonts w:hint="eastAsia" w:ascii="宋体" w:hAnsi="宋体" w:eastAsia="宋体" w:cs="宋体"/>
          <w:color w:val="auto"/>
          <w:sz w:val="24"/>
          <w:szCs w:val="24"/>
          <w:lang w:val="en-US" w:eastAsia="zh-CN"/>
        </w:rPr>
        <w:t xml:space="preserve">免费升级（功能模块更新）</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缺陷响应：</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22"/>
        <w:gridCol w:w="2672"/>
        <w:gridCol w:w="2672"/>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缺陷等级</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响应时间</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修复时间</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严重缺陷（系统瘫痪）</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2小时内远程支持</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24小时内修复</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一般缺陷（功能异常）</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4小时内响应</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5个工作日内修复</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 备件储备：</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关键备件（如机器人伺服电机、PLC模块）库存≥2套，48小时内可更换</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（4）维护措施</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软件提供3年免费升级（含新功能适配）</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w:t>
      </w:r>
      <w:r>
        <w:rPr>
          <w:rFonts w:hint="eastAsia" w:ascii="宋体" w:hAnsi="宋体" w:cs="宋体"/>
          <w:color w:val="auto"/>
          <w:sz w:val="24"/>
          <w:szCs w:val="24"/>
          <w:lang w:val="en-US" w:eastAsia="zh-CN"/>
        </w:rPr>
        <w:t xml:space="preserve">学期</w:t>
      </w:r>
      <w:r>
        <w:rPr>
          <w:rFonts w:hint="eastAsia" w:ascii="宋体" w:hAnsi="宋体" w:eastAsia="宋体" w:cs="宋体"/>
          <w:color w:val="auto"/>
          <w:sz w:val="24"/>
          <w:szCs w:val="24"/>
          <w:lang w:val="en-US" w:eastAsia="zh-CN"/>
        </w:rPr>
        <w:t xml:space="preserve">1次预防性维护（清洁、校准、润滑）</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（5）安全性保障</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需至少包括以下内容：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访问控制：三级权限管理（管理员/教师/学生）</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安全审计：日志保留≥6个月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（6）应急响应机制</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应包括：</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w:t>
      </w:r>
      <w:r>
        <w:rPr>
          <w:rFonts w:hint="eastAsia" w:ascii="宋体" w:hAnsi="宋体" w:cs="宋体"/>
          <w:color w:val="auto"/>
          <w:sz w:val="24"/>
          <w:szCs w:val="24"/>
          <w:lang w:val="en-US" w:eastAsia="zh-CN"/>
        </w:rPr>
        <w:t xml:space="preserve">操作</w:t>
      </w:r>
      <w:r>
        <w:rPr>
          <w:rFonts w:hint="eastAsia" w:ascii="宋体" w:hAnsi="宋体" w:eastAsia="宋体" w:cs="宋体"/>
          <w:color w:val="auto"/>
          <w:sz w:val="24"/>
          <w:szCs w:val="24"/>
          <w:lang w:val="en-US" w:eastAsia="zh-CN"/>
        </w:rPr>
        <w:t xml:space="preserve">手册：涵盖常见故障处理流程（如机器人死机、通讯中断）</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技术支持：7×24小时服务热线（400电话+在线工单）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 紧急联络人：提供项目经理、技术负责人24小时联系方式</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.3 培训方案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（1）培训计划与目标</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92"/>
        <w:gridCol w:w="4421"/>
        <w:gridCol w:w="2653"/>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对象</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目标</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评估方法</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管理员</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掌握设备维护、故障排查</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实操考核</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教师</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熟练操作机器人及软件</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教学模拟测试</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（2）培训师资配置</w:t>
      </w:r>
      <w:r>
        <w:rPr>
          <w:rFonts w:hint="eastAsia" w:ascii="宋体" w:hAnsi="宋体" w:cs="宋体"/>
          <w:color w:val="auto"/>
          <w:sz w:val="24"/>
          <w:szCs w:val="24"/>
          <w:lang w:val="en-US" w:eastAsia="zh-CN"/>
        </w:rPr>
        <w:t xml:space="preserve">（以下为最低要求，投标人可根据实际需求配置）</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理论讲师：1名（需具备5年以上工业机器人培训经验）</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实操教练：</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名（原厂认证工程师）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（3）培训安排</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02"/>
        <w:gridCol w:w="1351"/>
        <w:gridCol w:w="4813"/>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类型</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时长</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内容</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管理员培训</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5天</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系统维护、故障诊断</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教师培训</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3天</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教学案例设计、软件操作</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（4）培训内容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课程比例：理论30% + 实操70%</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专业大纲（示例）：</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工业机器人：示教编程、坐标系标定</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PLC：梯形图编程、通讯配置</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数字孪生：虚拟调试、3D建模</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（5）质量控制</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满意度调查：每次培训后匿名评分（≥90%满意为合格）</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效果跟踪：3个月内回访，提供额外辅导（如有需求）</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.4 售后服务方案</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（1）售后服务响应时间、服务流程</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响应时间</w:t>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29"/>
        <w:gridCol w:w="2318"/>
        <w:gridCol w:w="2519"/>
      </w:tblGrid>
      <w:tr>
        <w:trPr/>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问题等级</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响应时间</w:t>
            </w:r>
            <w:r/>
          </w:p>
        </w:tc>
        <w:tc>
          <w:tcPr>
            <w:shd w:val="clear" w:color="auto" w:fill="f2f2f2"/>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解决时限</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一级（系统瘫痪）</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30分钟内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24小时</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二级（功能异常）</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2小时内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3个工作日</w:t>
            </w:r>
            <w:r/>
          </w:p>
        </w:tc>
      </w:tr>
      <w:tr>
        <w:trPr/>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三级（咨询类）</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4小时内</w:t>
            </w:r>
            <w:r/>
          </w:p>
        </w:tc>
        <w:tc>
          <w:tcPr>
            <w:shd w:val="clear" w:color="auto" w:fill="auto"/>
            <w:tcMar>
              <w:left w:w="180" w:type="dxa"/>
              <w:top w:w="120" w:type="dxa"/>
              <w:right w:w="180" w:type="dxa"/>
              <w:bottom w:w="120" w:type="dxa"/>
            </w:tcMar>
            <w:tcW w:w="0" w:type="auto"/>
            <w:vAlign w:val="center"/>
            <w:textDirection w:val="lrTb"/>
            <w:noWrap w:val="false"/>
          </w:tcPr>
          <w:p>
            <w:pPr>
              <w:ind w:left="0" w:firstLine="0"/>
              <w:jc w:val="left"/>
              <w:keepLines w:val="0"/>
              <w:keepNext w:val="0"/>
              <w:pageBreakBefore w:val="0"/>
              <w:spacing w:beforeAutospacing="0" w:afterAutospacing="0" w:line="3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5个工作日</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服务流程</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 问题处理流程：</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用户报修 → 客服分派 → 工程师处理 → 用户确认 → 闭环归档</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 跟踪系统：提供工单管理系统（可实时查询进度）</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 评价机制：每次服务后用户评分（1-5星），低于3星需整改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（2）售后维保服务人员</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本地团队：1名项目经理 + </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名技术支持</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专家支持：原厂工程师48小时内到场（重大故障）</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交接培训：新员工需通过设备操作认证方可上岗</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（3）服务监督改进措施</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 监督改进</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季度报告：故障率、平均修复时间、用户满意度</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KPI指标： </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问题解决率≥98%</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平均解决时间≤8小时</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用户满意度≥90%</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改进机制：每月召开服务质量分析会</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 长期技术支持</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提供终身技术咨询（邮件/电话）</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w:t>
      </w:r>
      <w:r>
        <w:rPr>
          <w:rFonts w:hint="eastAsia" w:ascii="宋体" w:hAnsi="宋体" w:cs="宋体"/>
          <w:color w:val="auto"/>
          <w:sz w:val="24"/>
          <w:szCs w:val="24"/>
          <w:lang w:val="en-US" w:eastAsia="zh-CN"/>
        </w:rPr>
        <w:t xml:space="preserve">学期</w:t>
      </w:r>
      <w:r>
        <w:rPr>
          <w:rFonts w:hint="eastAsia" w:ascii="宋体" w:hAnsi="宋体" w:eastAsia="宋体" w:cs="宋体"/>
          <w:color w:val="auto"/>
          <w:sz w:val="24"/>
          <w:szCs w:val="24"/>
          <w:lang w:val="en-US" w:eastAsia="zh-CN"/>
        </w:rPr>
        <w:t xml:space="preserve">1次免费系统健康检查</w:t>
      </w:r>
      <w:r/>
    </w:p>
    <w:p>
      <w:pPr>
        <w:ind w:firstLine="482"/>
        <w:jc w:val="left"/>
        <w:keepLines w:val="0"/>
        <w:keepNext w:val="0"/>
        <w:pageBreakBefore w:val="0"/>
        <w:spacing w:line="480" w:lineRule="exact"/>
        <w:widowControl/>
        <w:rPr>
          <w:rFonts w:hint="eastAsia" w:ascii="宋体" w:hAnsi="宋体" w:cs="宋体"/>
          <w:color w:val="auto"/>
          <w:sz w:val="24"/>
          <w:szCs w:val="24"/>
          <w:lang w:val="en-US" w:eastAsia="zh-CN"/>
          <w14:ligatures w14:val="none"/>
        </w:rPr>
      </w:pPr>
      <w:r>
        <w:rPr>
          <w:rFonts w:hint="eastAsia" w:ascii="宋体" w:hAnsi="宋体" w:cs="宋体"/>
          <w:color w:val="auto"/>
          <w:sz w:val="24"/>
          <w:szCs w:val="24"/>
          <w:lang w:val="en-US" w:eastAsia="zh-CN"/>
        </w:rPr>
        <w:t xml:space="preserve">（六）节能环保</w:t>
      </w:r>
      <w:r/>
    </w:p>
    <w:p>
      <w:pPr>
        <w:ind w:firstLine="482"/>
        <w:jc w:val="left"/>
        <w:keepLines w:val="0"/>
        <w:keepNext w:val="0"/>
        <w:pageBreakBefore w:val="0"/>
        <w:spacing w:line="480" w:lineRule="exact"/>
        <w:widowControl/>
        <w:rPr>
          <w:rFonts w:hint="eastAsia" w:ascii="宋体" w:hAnsi="宋体" w:cs="宋体"/>
          <w:color w:val="auto"/>
          <w:sz w:val="24"/>
          <w:szCs w:val="24"/>
          <w14:ligatures w14:val="none"/>
        </w:rPr>
      </w:pPr>
      <w:r>
        <w:rPr>
          <w:rFonts w:hint="eastAsia" w:ascii="宋体" w:hAnsi="宋体" w:cs="宋体"/>
          <w:color w:val="auto"/>
          <w:sz w:val="24"/>
          <w:szCs w:val="24"/>
          <w:lang w:val="en-US" w:eastAsia="zh-CN"/>
        </w:rPr>
        <w:t xml:space="preserve">6.1投标产品属于财政部、国家发展改革委公布的“节能产品品目清单”范围内的，投标人提供国家确定的认证机构出具的、处于有效期之内的该节能产品认证证书的</w:t>
      </w:r>
      <w:r>
        <w:rPr>
          <w:rFonts w:hint="eastAsia" w:ascii="宋体" w:hAnsi="宋体" w:cs="宋体"/>
          <w:b/>
          <w:bCs/>
          <w:color w:val="auto"/>
          <w:sz w:val="24"/>
          <w:szCs w:val="24"/>
          <w:lang w:val="en-US" w:eastAsia="zh-CN"/>
        </w:rPr>
        <w:t xml:space="preserve">优先</w:t>
      </w:r>
      <w:r>
        <w:rPr>
          <w:rFonts w:hint="eastAsia" w:ascii="宋体" w:hAnsi="宋体" w:cs="宋体"/>
          <w:color w:val="auto"/>
          <w:sz w:val="24"/>
          <w:szCs w:val="24"/>
          <w:lang w:val="en-US" w:eastAsia="zh-CN"/>
        </w:rPr>
        <w:t xml:space="preserve">。如投标产品均属于政府强制采购节能产品品目清单范围内，本项不得分。</w:t>
      </w:r>
      <w:r/>
    </w:p>
    <w:p>
      <w:pPr>
        <w:ind w:firstLine="482"/>
        <w:jc w:val="left"/>
        <w:keepLines w:val="0"/>
        <w:keepNext w:val="0"/>
        <w:pageBreakBefore w:val="0"/>
        <w:spacing w:line="480" w:lineRule="exact"/>
        <w:widowControl/>
        <w:rPr>
          <w:rFonts w:hint="eastAsia" w:ascii="宋体" w:hAnsi="宋体" w:cs="宋体"/>
          <w:color w:val="auto"/>
          <w:sz w:val="24"/>
          <w:szCs w:val="24"/>
          <w14:ligatures w14:val="none"/>
        </w:rPr>
      </w:pPr>
      <w:r>
        <w:rPr>
          <w:rFonts w:hint="eastAsia" w:ascii="宋体" w:hAnsi="宋体" w:cs="宋体"/>
          <w:color w:val="auto"/>
          <w:sz w:val="24"/>
          <w:szCs w:val="24"/>
          <w:lang w:val="en-US" w:eastAsia="zh-CN"/>
        </w:rPr>
        <w:t xml:space="preserve">6.2投标产品属于财政部、生态环境部公布的“环境标志产品品目清单”范围内的，投标人提供国家确定的认证机构出具的、处于有效期内的该环保产品认证证书的</w:t>
      </w:r>
      <w:r>
        <w:rPr>
          <w:rFonts w:hint="eastAsia" w:ascii="宋体" w:hAnsi="宋体" w:cs="宋体"/>
          <w:b/>
          <w:bCs/>
          <w:color w:val="auto"/>
          <w:sz w:val="24"/>
          <w:szCs w:val="24"/>
          <w:lang w:val="en-US" w:eastAsia="zh-CN"/>
        </w:rPr>
        <w:t xml:space="preserve">优先</w:t>
      </w:r>
      <w:r>
        <w:rPr>
          <w:rFonts w:hint="eastAsia" w:ascii="宋体" w:hAnsi="宋体" w:cs="宋体"/>
          <w:color w:val="auto"/>
          <w:sz w:val="24"/>
          <w:szCs w:val="24"/>
          <w:lang w:val="en-US" w:eastAsia="zh-CN"/>
        </w:rPr>
        <w:t xml:space="preserve">。</w:t>
      </w:r>
      <w:r/>
    </w:p>
    <w:p>
      <w:pPr>
        <w:ind w:firstLine="482"/>
        <w:jc w:val="left"/>
        <w:keepLines w:val="0"/>
        <w:keepNext w:val="0"/>
        <w:pageBreakBefore w:val="0"/>
        <w:spacing w:line="480" w:lineRule="exact"/>
        <w:widowControl/>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 xml:space="preserve">九、采购标的对应的中小企业划分标准所属行业一览表</w:t>
      </w:r>
      <w:r/>
    </w:p>
    <w:tbl>
      <w:tblPr>
        <w:tblStyle w:val="645"/>
        <w:tblW w:w="76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6"/>
        <w:gridCol w:w="4586"/>
        <w:gridCol w:w="2514"/>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p>
        </w:tc>
      </w:tr>
      <w:tr>
        <w:trPr>
          <w:jc w:val="center"/>
          <w:tblCellSpacing w:w="0" w:type="dxa"/>
          <w:trHeight w:val="1022"/>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eastAsia="zh-CN"/>
              </w:rPr>
              <w:t xml:space="preserve">江苏省盐城技师学院电气工程学院工业机器人应用与维护设备设施采购项目</w:t>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844"/>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val="en-US" w:eastAsia="zh-CN"/>
              </w:rPr>
              <w:t xml:space="preserve">工</w:t>
            </w:r>
            <w:r>
              <w:rPr>
                <w:rFonts w:hint="eastAsia" w:ascii="宋体" w:hAnsi="宋体" w:cs="宋体"/>
                <w:color w:val="000000"/>
                <w:sz w:val="24"/>
                <w:szCs w:val="24"/>
                <w:highlight w:val="none"/>
                <w:shd w:val="clear" w:color="auto" w:fill="auto"/>
                <w:lang w:eastAsia="zh-CN"/>
              </w:rPr>
              <w:t xml:space="preserve">业</w:t>
            </w:r>
            <w:r/>
          </w:p>
        </w:tc>
      </w:tr>
    </w:tbl>
    <w:p>
      <w:pPr>
        <w:jc w:val="center"/>
        <w:rPr>
          <w:highlight w:val="none"/>
        </w:rPr>
      </w:pPr>
      <w:r/>
      <w:bookmarkStart w:id="184" w:name="_Toc120614281"/>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第五章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评标方法与评标标准</w:t>
      </w:r>
      <w:r/>
    </w:p>
    <w:p>
      <w:pPr>
        <w:pStyle w:val="844"/>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44"/>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1、小微型企业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（2）供应商需按照采购文件的要求提供相应的《</w:t>
      </w:r>
      <w:r>
        <w:rPr>
          <w:rFonts w:hint="eastAsia" w:ascii="宋体" w:hAnsi="宋体" w:cs="宋体"/>
          <w:sz w:val="24"/>
          <w:lang w:val="en-US" w:eastAsia="zh-CN"/>
        </w:rPr>
        <w:t xml:space="preserve">中小</w:t>
      </w:r>
      <w:r>
        <w:rPr>
          <w:rFonts w:hint="eastAsia" w:ascii="宋体" w:hAnsi="宋体" w:cs="宋体"/>
          <w:sz w:val="24"/>
        </w:rPr>
        <w:t xml:space="preserve">企业声明函》。</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2、残疾人福利单位</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（1）本项目对残疾人福利性单位视同小型、微型企业。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3、监狱和戒毒企业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keepLines w:val="0"/>
        <w:keepNext w:val="0"/>
        <w:pageBreakBefore w:val="0"/>
        <w:spacing w:line="440" w:lineRule="exact"/>
        <w:widowControl w:val="off"/>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000000"/>
          <w:sz w:val="24"/>
        </w:rPr>
        <w:t xml:space="preserve">如属政府强制采购产品未提供认证证书的或认证证书提供不全的将视为未实质性响应采购要求</w:t>
      </w:r>
      <w:r>
        <w:rPr>
          <w:rFonts w:ascii="宋体" w:hAnsi="宋体" w:cs="宋体"/>
          <w:i/>
          <w:color w:val="000000"/>
          <w:sz w:val="24"/>
        </w:rPr>
        <w:t xml:space="preserve">。</w:t>
      </w:r>
      <w:r>
        <w:rPr>
          <w:rFonts w:ascii="宋体" w:hAnsi="宋体" w:cs="宋体"/>
          <w:color w:val="000000"/>
          <w:sz w:val="24"/>
        </w:rPr>
        <w:t xml:space="preserve">其他条件相同情况下，应当优先采购节能产品、环境标志产品。</w:t>
      </w:r>
      <w:r/>
    </w:p>
    <w:p>
      <w:pPr>
        <w:ind w:firstLine="482"/>
        <w:spacing w:line="440" w:lineRule="exact"/>
        <w:rPr>
          <w:rFonts w:cs="Courier New"/>
          <w:b/>
          <w:bCs/>
          <w:color w:val="000000"/>
          <w:sz w:val="24"/>
          <w:szCs w:val="24"/>
        </w:rPr>
      </w:pPr>
      <w:r>
        <w:rPr>
          <w:rFonts w:hint="eastAsia" w:cs="Courier New"/>
          <w:b/>
          <w:bCs/>
          <w:color w:val="000000"/>
          <w:sz w:val="24"/>
          <w:szCs w:val="24"/>
        </w:rPr>
        <w:t xml:space="preserve">二、评标标准</w:t>
      </w:r>
      <w:r/>
    </w:p>
    <w:p>
      <w:pPr>
        <w:ind w:firstLine="480"/>
        <w:spacing w:line="440" w:lineRule="exact"/>
        <w:rPr>
          <w:rFonts w:hint="eastAsia" w:cs="Courier New"/>
          <w:bCs/>
          <w:color w:val="000000"/>
          <w:sz w:val="24"/>
          <w:szCs w:val="24"/>
        </w:rPr>
      </w:pPr>
      <w:r>
        <w:rPr>
          <w:rFonts w:cs="Courier New"/>
          <w:bCs/>
          <w:color w:val="000000"/>
          <w:sz w:val="24"/>
          <w:szCs w:val="24"/>
        </w:rPr>
        <w:t xml:space="preserve">本项目评分总分值为100分。</w:t>
      </w:r>
      <w:r/>
    </w:p>
    <w:tbl>
      <w:tblPr>
        <w:tblStyle w:val="645"/>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430"/>
        </w:trPr>
        <w:tc>
          <w:tcPr>
            <w:tcW w:w="65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246"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tcW w:w="1017"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112"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W w:w="6112" w:type="dxa"/>
            <w:vAlign w:val="top"/>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采用低价优先法，即满足招标文件要求且投标价格最低的有效投标报价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有效投标报价为未被评标委员会判定为无效标的投标文件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为评标基准价，其价格分为满分。</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（小数点保留两位）。</w:t>
            </w:r>
            <w:r/>
          </w:p>
        </w:tc>
      </w:tr>
      <w:tr>
        <w:trPr>
          <w:jc w:val="center"/>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投标人自2021年1月1日（以合同签订时间为准）以来，承担过类似（</w:t>
            </w:r>
            <w:r>
              <w:rPr>
                <w:rFonts w:hint="eastAsia" w:ascii="宋体" w:hAnsi="宋体" w:eastAsia="宋体" w:cs="宋体"/>
                <w:color w:val="auto"/>
                <w:sz w:val="21"/>
                <w:szCs w:val="21"/>
                <w:highlight w:val="none"/>
              </w:rPr>
              <w:t xml:space="preserve">类似项目至少包括</w:t>
            </w:r>
            <w:r>
              <w:rPr>
                <w:rFonts w:hint="eastAsia" w:ascii="宋体" w:hAnsi="宋体" w:eastAsia="宋体" w:cs="宋体"/>
                <w:color w:val="auto"/>
                <w:sz w:val="21"/>
                <w:szCs w:val="21"/>
                <w:highlight w:val="none"/>
                <w:lang w:val="en-US" w:eastAsia="zh-CN"/>
              </w:rPr>
              <w:t xml:space="preserve">工业自动化系统集成或工业机器人应用或智能控制系统运维）项目业绩，每有一项得2分，本项最高得10分。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需提供符合要求的业绩合同扫描件，合同中需能够清晰、明确体现合同签订时间、合同标的内容、合同盖章等主要信息；若合同中不能清晰载明，则另需提供业绩采购人的书面证明（格式自拟）或相关佐证材料，未按要求提供或未提供的不得分。</w:t>
            </w:r>
            <w:r/>
          </w:p>
        </w:tc>
      </w:tr>
      <w:tr>
        <w:trPr>
          <w:jc w:val="center"/>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技术参数</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（1）本项目“技术参数”中标注“★”的技术参数代表重要指标，共12项，每有一项不满足（负偏离）的扣1.5分，本项最高扣18分；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（2）本项目“技术参数”中标注“◆”的技术参数共5项，每有一项不满足（负偏离）的扣1分，本项最高扣5分；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注：①投标人投标时需按技术参数中的要求提供承诺、产品功能截图、产品功能白皮书、3D效果图及各功能模块效果图或官网截图等证明材料并加盖投标单位公章。</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②以上技术参数响应情况均须在投标文件《技术要求响应及偏离表》中表述清楚，如表述不清，则按不满足（负偏离）处理（注意：如某项标识中包含多条技术参数或要求，则该项标识所含内容均需满足或优于招标文件要求，否则不予认可）。</w:t>
            </w:r>
            <w:r/>
          </w:p>
        </w:tc>
      </w:tr>
      <w:tr>
        <w:trPr>
          <w:jc w:val="center"/>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视频演示</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16分</w:t>
            </w:r>
            <w:r/>
          </w:p>
        </w:tc>
        <w:tc>
          <w:tcPr>
            <w:tcW w:w="6112" w:type="dxa"/>
            <w:vAlign w:val="center"/>
            <w:textDirection w:val="lrTb"/>
            <w:noWrap/>
          </w:tcPr>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演示一（4分）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机器人系统集成平台“</w:t>
            </w:r>
            <w:r>
              <w:rPr>
                <w:rFonts w:hint="eastAsia" w:ascii="宋体" w:hAnsi="宋体" w:eastAsia="宋体" w:cs="宋体"/>
                <w:b/>
                <w:bCs/>
                <w:color w:val="auto"/>
                <w:sz w:val="21"/>
                <w:szCs w:val="21"/>
                <w:highlight w:val="none"/>
                <w:lang w:val="en-US" w:eastAsia="zh-CN"/>
              </w:rPr>
              <w:t xml:space="preserve">▲5.机加工自动化任务单元</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bCs w:val="0"/>
                <w:color w:val="auto"/>
                <w:sz w:val="21"/>
                <w:szCs w:val="21"/>
                <w:highlight w:val="none"/>
              </w:rPr>
              <w:t xml:space="preserve">流程的详细说明</w:t>
            </w:r>
            <w:r>
              <w:rPr>
                <w:rFonts w:hint="eastAsia" w:ascii="宋体" w:hAnsi="宋体" w:eastAsia="宋体" w:cs="宋体"/>
                <w:b/>
                <w:bCs w:val="0"/>
                <w:color w:val="auto"/>
                <w:sz w:val="21"/>
                <w:szCs w:val="21"/>
                <w:highlight w:val="none"/>
                <w:lang w:val="en-US" w:eastAsia="zh-CN"/>
              </w:rPr>
              <w:t xml:space="preserve">并</w:t>
            </w:r>
            <w:r>
              <w:rPr>
                <w:rFonts w:hint="eastAsia" w:ascii="宋体" w:hAnsi="宋体" w:eastAsia="宋体" w:cs="宋体"/>
                <w:color w:val="auto"/>
                <w:sz w:val="21"/>
                <w:szCs w:val="21"/>
                <w:highlight w:val="none"/>
                <w:lang w:val="en-US" w:eastAsia="zh-CN"/>
              </w:rPr>
              <w:t xml:space="preserve">演示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演示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：“5.机加工自动化任务单元”系统集成模块与工业机器人相配合动作实物演示视频和配套仿真动画视频同步（提供一个动作环节的样章，如打磨去毛刺）</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bCs w:val="0"/>
                <w:color w:val="auto"/>
                <w:sz w:val="21"/>
                <w:szCs w:val="21"/>
                <w:highlight w:val="none"/>
              </w:rPr>
              <w:t xml:space="preserve">流程的详细说明</w:t>
            </w:r>
            <w:r>
              <w:rPr>
                <w:rFonts w:hint="eastAsia" w:ascii="宋体" w:hAnsi="宋体" w:eastAsia="宋体" w:cs="宋体"/>
                <w:b w:val="0"/>
                <w:bCs/>
                <w:color w:val="auto"/>
                <w:sz w:val="21"/>
                <w:szCs w:val="21"/>
                <w:highlight w:val="none"/>
                <w:lang w:val="en-US" w:eastAsia="zh-CN"/>
              </w:rPr>
              <w:t xml:space="preserve">并提供演示；能满</w:t>
            </w:r>
            <w:r>
              <w:rPr>
                <w:rFonts w:hint="eastAsia" w:ascii="宋体" w:hAnsi="宋体" w:eastAsia="宋体" w:cs="宋体"/>
                <w:color w:val="auto"/>
                <w:sz w:val="21"/>
                <w:szCs w:val="21"/>
                <w:highlight w:val="none"/>
                <w:lang w:val="en-US" w:eastAsia="zh-CN"/>
              </w:rPr>
              <w:t xml:space="preserve">足参数要求的得4分，不满足参数要求或缺少演示点或无流程说明或不提供演示的得0分，本项最高得4分。</w:t>
            </w:r>
            <w:r/>
          </w:p>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演示二（5分）</w:t>
            </w:r>
            <w:r/>
          </w:p>
          <w:p>
            <w:pPr>
              <w:jc w:val="left"/>
              <w:keepLines w:val="0"/>
              <w:keepNext w:val="0"/>
              <w:pageBreakBefore w:val="0"/>
              <w:spacing w:line="32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机器人系统集成平台“</w:t>
            </w:r>
            <w:r>
              <w:rPr>
                <w:rFonts w:hint="eastAsia" w:ascii="宋体" w:hAnsi="宋体" w:eastAsia="宋体" w:cs="宋体"/>
                <w:b/>
                <w:bCs/>
                <w:color w:val="auto"/>
                <w:sz w:val="21"/>
                <w:szCs w:val="21"/>
                <w:highlight w:val="none"/>
              </w:rPr>
              <w:t xml:space="preserve">▲14.4.4数字孪生配套机器人系统集成平台3D仿真模型</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提供演示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演示内容为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14.4.4数字孪生配套机器人系统集成平台3D仿真模型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提供任一</w:t>
            </w:r>
            <w:r>
              <w:rPr>
                <w:rFonts w:hint="eastAsia" w:ascii="宋体" w:hAnsi="宋体" w:eastAsia="宋体" w:cs="宋体"/>
                <w:color w:val="auto"/>
                <w:sz w:val="21"/>
                <w:szCs w:val="21"/>
                <w:highlight w:val="none"/>
              </w:rPr>
              <w:t xml:space="preserve">模块或模型</w:t>
            </w:r>
            <w:r>
              <w:rPr>
                <w:rFonts w:hint="eastAsia" w:ascii="宋体" w:hAnsi="宋体" w:eastAsia="宋体" w:cs="宋体"/>
                <w:color w:val="auto"/>
                <w:sz w:val="21"/>
                <w:szCs w:val="21"/>
                <w:highlight w:val="none"/>
                <w:lang w:val="en-US" w:eastAsia="zh-CN"/>
              </w:rPr>
              <w:t xml:space="preserve">的完整演示（如</w:t>
            </w:r>
            <w:r>
              <w:rPr>
                <w:rFonts w:hint="eastAsia" w:ascii="宋体" w:hAnsi="宋体" w:eastAsia="宋体" w:cs="宋体"/>
                <w:color w:val="auto"/>
                <w:sz w:val="21"/>
                <w:szCs w:val="21"/>
                <w:highlight w:val="none"/>
              </w:rPr>
              <w:t xml:space="preserve">焊接考核模块）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演示能满</w:t>
            </w:r>
            <w:r>
              <w:rPr>
                <w:rFonts w:hint="eastAsia" w:ascii="宋体" w:hAnsi="宋体" w:eastAsia="宋体" w:cs="宋体"/>
                <w:color w:val="auto"/>
                <w:sz w:val="21"/>
                <w:szCs w:val="21"/>
                <w:highlight w:val="none"/>
                <w:lang w:val="en-US" w:eastAsia="zh-CN"/>
              </w:rPr>
              <w:t xml:space="preserve">足参数要求的得5分，不满足参数要求或缺少演示点或不提供演示的得0分，本项最高得5分。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演示三（4分）</w:t>
            </w:r>
            <w:r/>
          </w:p>
          <w:p>
            <w:pPr>
              <w:ind w:firstLine="0"/>
              <w:jc w:val="both"/>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工业机器人供料罐装工作站</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▲1.2设备需满足工作流程</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提供演示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演示内容为</w:t>
            </w:r>
            <w:r>
              <w:rPr>
                <w:rFonts w:hint="eastAsia" w:ascii="宋体" w:hAnsi="宋体" w:eastAsia="宋体" w:cs="宋体"/>
                <w:color w:val="auto"/>
                <w:sz w:val="21"/>
                <w:szCs w:val="21"/>
                <w:highlight w:val="none"/>
              </w:rPr>
              <w:t xml:space="preserve">：“1.2设备需满足工作流程”模块动作实物演示视频和配套仿真动画视频（提供一个动作环节的样章，如瓶体供料）；</w:t>
            </w:r>
            <w:r>
              <w:rPr>
                <w:rFonts w:hint="eastAsia" w:ascii="宋体" w:hAnsi="宋体" w:eastAsia="宋体" w:cs="宋体"/>
                <w:b w:val="0"/>
                <w:bCs w:val="0"/>
                <w:color w:val="auto"/>
                <w:sz w:val="21"/>
                <w:szCs w:val="21"/>
                <w:highlight w:val="none"/>
                <w:lang w:val="en-US" w:eastAsia="zh-CN"/>
              </w:rPr>
              <w:t xml:space="preserve">演示能满</w:t>
            </w:r>
            <w:r>
              <w:rPr>
                <w:rFonts w:hint="eastAsia" w:ascii="宋体" w:hAnsi="宋体" w:eastAsia="宋体" w:cs="宋体"/>
                <w:color w:val="auto"/>
                <w:sz w:val="21"/>
                <w:szCs w:val="21"/>
                <w:highlight w:val="none"/>
                <w:lang w:val="en-US" w:eastAsia="zh-CN"/>
              </w:rPr>
              <w:t xml:space="preserve">足参数要求的得4分，不满足参数要求或缺少演示点或不提供演示的得0分，本项最高得4分。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演示四（3分）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工业机器人供料罐装工作站</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▲三、可扩展设备</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bCs w:val="0"/>
                <w:color w:val="auto"/>
                <w:sz w:val="21"/>
                <w:szCs w:val="21"/>
                <w:highlight w:val="none"/>
              </w:rPr>
              <w:t xml:space="preserve">扩展设备各流程的说明</w:t>
            </w:r>
            <w:r>
              <w:rPr>
                <w:rFonts w:hint="eastAsia" w:ascii="宋体" w:hAnsi="宋体" w:eastAsia="宋体" w:cs="宋体"/>
                <w:color w:val="auto"/>
                <w:sz w:val="21"/>
                <w:szCs w:val="21"/>
                <w:highlight w:val="none"/>
                <w:lang w:val="en-US" w:eastAsia="zh-CN"/>
              </w:rPr>
              <w:t xml:space="preserve">并演示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演示内容为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三、可扩展设备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任一模型站的完整</w:t>
            </w:r>
            <w:r>
              <w:rPr>
                <w:rFonts w:hint="eastAsia" w:ascii="宋体" w:hAnsi="宋体" w:eastAsia="宋体" w:cs="宋体"/>
                <w:color w:val="auto"/>
                <w:sz w:val="21"/>
                <w:szCs w:val="21"/>
                <w:highlight w:val="none"/>
              </w:rPr>
              <w:t xml:space="preserve">虚拟仿真动作流程动画视频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包装成品仓储模型站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扩展设备各流程的说明</w:t>
            </w:r>
            <w:r>
              <w:rPr>
                <w:rFonts w:hint="eastAsia" w:ascii="宋体" w:hAnsi="宋体" w:eastAsia="宋体" w:cs="宋体"/>
                <w:color w:val="auto"/>
                <w:sz w:val="21"/>
                <w:szCs w:val="21"/>
                <w:highlight w:val="none"/>
                <w:lang w:val="en-US" w:eastAsia="zh-CN"/>
              </w:rPr>
              <w:t xml:space="preserve">并提供演示；能满足参数要求的得3分，不满足参数要求或缺少演示点或无流程说明或不提供演示的得0分，本项最高得3分。</w:t>
            </w:r>
            <w:r/>
          </w:p>
        </w:tc>
      </w:tr>
      <w:tr>
        <w:trPr>
          <w:jc w:val="center"/>
        </w:trPr>
        <w:tc>
          <w:tcPr>
            <w:tcW w:w="658"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246"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技术方案评审</w:t>
            </w:r>
            <w:r/>
          </w:p>
        </w:tc>
        <w:tc>
          <w:tcPr>
            <w:tcW w:w="1017"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安装</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调试及验收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b/>
                <w:bCs/>
                <w:color w:val="auto"/>
                <w:sz w:val="21"/>
                <w:szCs w:val="21"/>
                <w:highlight w:val="none"/>
                <w:lang w:eastAsia="zh-CN"/>
              </w:rPr>
              <w:t xml:space="preserve">）</w:t>
            </w:r>
            <w:r/>
          </w:p>
          <w:p>
            <w:pPr>
              <w:pStyle w:val="869"/>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.1安装、调试及验收方案”要求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（1）安装计划；（2）安装</w:t>
            </w:r>
            <w:r>
              <w:rPr>
                <w:rFonts w:hint="eastAsia" w:ascii="宋体" w:hAnsi="宋体" w:eastAsia="宋体" w:cs="宋体"/>
                <w:color w:val="auto"/>
                <w:sz w:val="21"/>
                <w:szCs w:val="21"/>
                <w:highlight w:val="none"/>
                <w:lang w:val="en-US" w:eastAsia="zh-CN"/>
              </w:rPr>
              <w:t xml:space="preserve">及维护</w:t>
            </w:r>
            <w:r>
              <w:rPr>
                <w:rFonts w:hint="eastAsia" w:ascii="宋体" w:hAnsi="宋体" w:eastAsia="宋体" w:cs="宋体"/>
                <w:color w:val="auto"/>
                <w:sz w:val="21"/>
                <w:szCs w:val="21"/>
                <w:highlight w:val="none"/>
              </w:rPr>
              <w:t xml:space="preserve">人员配置；（3）调试方案；（4）验收依据和相关的技术标准；（5）验收程序；</w:t>
            </w:r>
            <w:r>
              <w:rPr>
                <w:rFonts w:hint="eastAsia" w:ascii="宋体" w:hAnsi="宋体" w:eastAsia="宋体" w:cs="宋体"/>
                <w:color w:val="auto"/>
                <w:sz w:val="21"/>
                <w:szCs w:val="21"/>
                <w:highlight w:val="none"/>
                <w:lang w:val="en-US" w:eastAsia="zh-CN"/>
              </w:rPr>
              <w:t xml:space="preserve">方案优于项目需求的得3分；满足项目需求的得2分；不满足或无此项内容的本项不得分。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2.质量保障与应急服务方案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2分</w:t>
            </w:r>
            <w:r>
              <w:rPr>
                <w:rFonts w:hint="eastAsia" w:ascii="宋体" w:hAnsi="宋体" w:eastAsia="宋体" w:cs="宋体"/>
                <w:b/>
                <w:bCs/>
                <w:color w:val="auto"/>
                <w:sz w:val="21"/>
                <w:szCs w:val="21"/>
                <w:highlight w:val="none"/>
                <w:lang w:eastAsia="zh-CN"/>
              </w:rPr>
              <w:t xml:space="preserve">）</w:t>
            </w:r>
            <w:r/>
          </w:p>
          <w:p>
            <w:pPr>
              <w:pStyle w:val="869"/>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 质量保障与应急服务方案”要求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（1）总体质量目标；（2）项目实施方案；（3）产品</w:t>
            </w:r>
            <w:r>
              <w:rPr>
                <w:rFonts w:hint="eastAsia" w:ascii="宋体" w:hAnsi="宋体" w:eastAsia="宋体" w:cs="宋体"/>
                <w:color w:val="auto"/>
                <w:sz w:val="21"/>
                <w:szCs w:val="21"/>
                <w:highlight w:val="none"/>
                <w:lang w:val="en-US" w:eastAsia="zh-CN"/>
              </w:rPr>
              <w:t xml:space="preserve">质量保证</w:t>
            </w:r>
            <w:r>
              <w:rPr>
                <w:rFonts w:hint="eastAsia" w:ascii="宋体" w:hAnsi="宋体" w:eastAsia="宋体" w:cs="宋体"/>
                <w:color w:val="auto"/>
                <w:sz w:val="21"/>
                <w:szCs w:val="21"/>
                <w:highlight w:val="none"/>
              </w:rPr>
              <w:t xml:space="preserve">；（4）维护措施；（5）安全性保障；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）应急响应机制</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方案优于项目需求的得2分；满足项目需求的得1分；不满足或无此项内容的本项不得分。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3.培训方案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2分</w:t>
            </w:r>
            <w:r>
              <w:rPr>
                <w:rFonts w:hint="eastAsia" w:ascii="宋体" w:hAnsi="宋体" w:eastAsia="宋体" w:cs="宋体"/>
                <w:b/>
                <w:bCs/>
                <w:color w:val="auto"/>
                <w:sz w:val="21"/>
                <w:szCs w:val="21"/>
                <w:highlight w:val="none"/>
                <w:lang w:eastAsia="zh-CN"/>
              </w:rPr>
              <w:t xml:space="preserve">）</w:t>
            </w:r>
            <w:r/>
          </w:p>
          <w:p>
            <w:pPr>
              <w:pStyle w:val="869"/>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 培训方案”要求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（1）培训计划与目标；（2）培训师资配置；（3）培训安排；（4）培训内容；（5）质量控制；</w:t>
            </w:r>
            <w:r>
              <w:rPr>
                <w:rFonts w:hint="eastAsia" w:ascii="宋体" w:hAnsi="宋体" w:eastAsia="宋体" w:cs="宋体"/>
                <w:color w:val="auto"/>
                <w:sz w:val="21"/>
                <w:szCs w:val="21"/>
                <w:highlight w:val="none"/>
                <w:lang w:val="en-US" w:eastAsia="zh-CN"/>
              </w:rPr>
              <w:t xml:space="preserve">方案优于项目需求的得2分；满足项目需求的得1分；不满足或无此项内容的本项不得分。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4.售后服务方案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2分</w:t>
            </w:r>
            <w:r>
              <w:rPr>
                <w:rFonts w:hint="eastAsia" w:ascii="宋体" w:hAnsi="宋体" w:eastAsia="宋体" w:cs="宋体"/>
                <w:b/>
                <w:bCs/>
                <w:color w:val="auto"/>
                <w:sz w:val="21"/>
                <w:szCs w:val="21"/>
                <w:highlight w:val="none"/>
                <w:lang w:eastAsia="zh-CN"/>
              </w:rPr>
              <w:t xml:space="preserve">）</w:t>
            </w:r>
            <w:r/>
          </w:p>
          <w:p>
            <w:pPr>
              <w:pStyle w:val="869"/>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供应商根据本项目第四章“</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.4 售后服务方案”要求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（1）售后服务响应时间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售后</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服务人员；（</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）服务监督</w:t>
            </w:r>
            <w:bookmarkStart w:id="208" w:name="_GoBack"/>
            <w:r/>
            <w:bookmarkEnd w:id="208"/>
            <w:r>
              <w:rPr>
                <w:rFonts w:hint="eastAsia" w:ascii="宋体" w:hAnsi="宋体" w:eastAsia="宋体" w:cs="宋体"/>
                <w:color w:val="auto"/>
                <w:sz w:val="21"/>
                <w:szCs w:val="21"/>
                <w:highlight w:val="none"/>
              </w:rPr>
              <w:t xml:space="preserve">改进</w:t>
            </w:r>
            <w:r>
              <w:rPr>
                <w:rFonts w:hint="eastAsia" w:ascii="宋体" w:hAnsi="宋体" w:eastAsia="宋体" w:cs="宋体"/>
                <w:color w:val="auto"/>
                <w:sz w:val="21"/>
                <w:szCs w:val="21"/>
                <w:highlight w:val="none"/>
                <w:lang w:val="en-US" w:eastAsia="zh-CN"/>
              </w:rPr>
              <w:t xml:space="preserve">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方案优于项目需求的得2分；满足项目需求的得1分；不满足或无此项内容的本项不得分。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节能环保</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1.投标产品属于财政部、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ind w:firstLine="422"/>
        <w:keepLines w:val="0"/>
        <w:keepNext w:val="0"/>
        <w:pageBreakBefore w:val="0"/>
        <w:spacing w:line="360" w:lineRule="exact"/>
        <w:widowControl w:val="off"/>
        <w:tabs>
          <w:tab w:val="left" w:pos="900" w:leader="none"/>
        </w:tabs>
      </w:pPr>
      <w:r>
        <w:rPr>
          <w:rFonts w:hint="eastAsia" w:ascii="宋体" w:hAnsi="宋体" w:eastAsia="宋体" w:cs="宋体"/>
          <w:b/>
          <w:color w:val="0000ff"/>
          <w:sz w:val="21"/>
          <w:szCs w:val="21"/>
          <w:lang w:val="en-US" w:eastAsia="zh-CN"/>
        </w:rPr>
        <w:t xml:space="preserve">注：</w:t>
      </w:r>
      <w:r>
        <w:rPr>
          <w:rFonts w:hint="eastAsia" w:ascii="宋体" w:hAnsi="宋体" w:cs="宋体"/>
          <w:b/>
          <w:color w:val="0000ff"/>
          <w:sz w:val="21"/>
          <w:szCs w:val="21"/>
          <w:lang w:val="en-US" w:eastAsia="zh-CN"/>
        </w:rPr>
        <w:t xml:space="preserve">1.</w:t>
      </w:r>
      <w:r>
        <w:rPr>
          <w:rFonts w:hint="eastAsia" w:ascii="宋体" w:hAnsi="宋体" w:eastAsia="宋体" w:cs="宋体"/>
          <w:b/>
          <w:color w:val="0000ff"/>
          <w:sz w:val="21"/>
          <w:szCs w:val="21"/>
          <w:lang w:val="en-US" w:eastAsia="zh-CN"/>
        </w:rPr>
        <w:t xml:space="preserve">上述加分项中需提供相关证明材料的，在该项目</w:t>
      </w:r>
      <w:r>
        <w:rPr>
          <w:rFonts w:hint="eastAsia" w:ascii="宋体" w:hAnsi="宋体" w:cs="宋体"/>
          <w:b/>
          <w:color w:val="0000ff"/>
          <w:sz w:val="21"/>
          <w:szCs w:val="21"/>
          <w:lang w:val="en-US" w:eastAsia="zh-CN"/>
        </w:rPr>
        <w:t xml:space="preserve">中标</w:t>
      </w:r>
      <w:r>
        <w:rPr>
          <w:rFonts w:hint="eastAsia" w:ascii="宋体" w:hAnsi="宋体" w:eastAsia="宋体" w:cs="宋体"/>
          <w:b/>
          <w:color w:val="0000ff"/>
          <w:sz w:val="21"/>
          <w:szCs w:val="21"/>
          <w:lang w:val="en-US" w:eastAsia="zh-CN"/>
        </w:rPr>
        <w:t xml:space="preserve">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firstLine="422"/>
        <w:keepLines w:val="0"/>
        <w:keepNext w:val="0"/>
        <w:pageBreakBefore w:val="0"/>
        <w:spacing w:line="360" w:lineRule="exact"/>
        <w:widowControl w:val="off"/>
        <w:tabs>
          <w:tab w:val="left" w:pos="900" w:leader="none"/>
        </w:tabs>
        <w:rPr>
          <w:rFonts w:hint="eastAsia" w:ascii="宋体" w:hAnsi="宋体" w:eastAsia="宋体" w:cs="宋体"/>
          <w:b/>
          <w:color w:val="0000ff"/>
          <w:sz w:val="21"/>
          <w:szCs w:val="21"/>
          <w:lang w:val="en-US" w:eastAsia="zh-CN"/>
        </w:rPr>
      </w:pPr>
      <w:r>
        <w:rPr>
          <w:rFonts w:hint="eastAsia" w:ascii="宋体" w:hAnsi="宋体" w:cs="宋体"/>
          <w:b/>
          <w:color w:val="0000ff"/>
          <w:sz w:val="21"/>
          <w:szCs w:val="21"/>
          <w:lang w:val="en-US" w:eastAsia="zh-CN"/>
        </w:rPr>
        <w:t xml:space="preserve">2.</w:t>
      </w:r>
      <w:r>
        <w:rPr>
          <w:rFonts w:hint="eastAsia" w:ascii="宋体" w:hAnsi="宋体" w:eastAsia="宋体" w:cs="宋体"/>
          <w:b/>
          <w:color w:val="0000ff"/>
          <w:sz w:val="21"/>
          <w:szCs w:val="21"/>
          <w:lang w:val="en-US" w:eastAsia="zh-CN"/>
        </w:rPr>
        <w:t xml:space="preserve">供应商需按照</w:t>
      </w:r>
      <w:r>
        <w:rPr>
          <w:rFonts w:hint="eastAsia" w:ascii="宋体" w:hAnsi="宋体" w:cs="宋体"/>
          <w:b/>
          <w:color w:val="0000ff"/>
          <w:sz w:val="21"/>
          <w:szCs w:val="21"/>
          <w:lang w:val="en-US" w:eastAsia="zh-CN"/>
        </w:rPr>
        <w:t xml:space="preserve">招标</w:t>
      </w:r>
      <w:r>
        <w:rPr>
          <w:rFonts w:hint="eastAsia" w:ascii="宋体" w:hAnsi="宋体" w:eastAsia="宋体" w:cs="宋体"/>
          <w:b/>
          <w:color w:val="0000ff"/>
          <w:sz w:val="21"/>
          <w:szCs w:val="21"/>
          <w:lang w:val="en-US" w:eastAsia="zh-CN"/>
        </w:rPr>
        <w:t xml:space="preserve">文件规定的演示内容进行功能演示（视频画面须清晰</w:t>
      </w:r>
      <w:r>
        <w:rPr>
          <w:rFonts w:hint="eastAsia" w:ascii="宋体" w:hAnsi="宋体" w:cs="宋体"/>
          <w:b/>
          <w:color w:val="0000ff"/>
          <w:sz w:val="21"/>
          <w:szCs w:val="21"/>
          <w:lang w:val="en-US" w:eastAsia="zh-CN"/>
        </w:rPr>
        <w:t xml:space="preserve">，如不清晰导致评委无法评审的，责任由投标人自负</w:t>
      </w:r>
      <w:r>
        <w:rPr>
          <w:rFonts w:hint="eastAsia" w:ascii="宋体" w:hAnsi="宋体" w:eastAsia="宋体" w:cs="宋体"/>
          <w:b/>
          <w:color w:val="0000ff"/>
          <w:sz w:val="21"/>
          <w:szCs w:val="21"/>
          <w:lang w:val="en-US" w:eastAsia="zh-CN"/>
        </w:rPr>
        <w:t xml:space="preserve">），视频文件的格式为*.mp4或*.avi，供应商须将视频文件分段压缩为*.zip文件上传（单个文件不得大于50M，所有文件总共不得大于300M）。文件上传方式见《操作手册》规定，上传的演示视频将作为投标文件的组成部分，每个项目根据演示</w:t>
      </w:r>
      <w:r>
        <w:rPr>
          <w:rFonts w:hint="eastAsia" w:ascii="宋体" w:hAnsi="宋体" w:cs="宋体"/>
          <w:b/>
          <w:color w:val="0000ff"/>
          <w:sz w:val="21"/>
          <w:szCs w:val="21"/>
          <w:lang w:val="en-US" w:eastAsia="zh-CN"/>
        </w:rPr>
        <w:t xml:space="preserve">点</w:t>
      </w:r>
      <w:r>
        <w:rPr>
          <w:rFonts w:hint="eastAsia" w:ascii="宋体" w:hAnsi="宋体" w:eastAsia="宋体" w:cs="宋体"/>
          <w:b/>
          <w:color w:val="0000ff"/>
          <w:sz w:val="21"/>
          <w:szCs w:val="21"/>
          <w:lang w:val="en-US" w:eastAsia="zh-CN"/>
        </w:rPr>
        <w:t xml:space="preserve">进行评分。</w:t>
      </w:r>
      <w:r/>
    </w:p>
    <w:p>
      <w:pPr>
        <w:pStyle w:val="654"/>
        <w:rPr>
          <w:rFonts w:hint="eastAsia"/>
        </w:rPr>
      </w:pPr>
      <w:r>
        <w:rPr>
          <w:rFonts w:hint="eastAsia"/>
        </w:rPr>
      </w:r>
      <w:r/>
    </w:p>
    <w:p>
      <w:pPr>
        <w:pStyle w:val="844"/>
        <w:jc w:val="center"/>
        <w:keepNext/>
        <w:spacing w:beforeAutospacing="0" w:afterAutospacing="0"/>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 投标文件格式 </w:t>
      </w:r>
      <w:r/>
    </w:p>
    <w:p>
      <w:pPr>
        <w:pStyle w:val="844"/>
        <w:jc w:val="center"/>
        <w:spacing w:beforeAutospacing="0" w:afterAutospacing="0"/>
        <w:rPr>
          <w:rFonts w:hint="eastAsia" w:ascii="宋体" w:hAnsi="宋体" w:eastAsia="宋体" w:cs="宋体"/>
          <w:b/>
          <w:color w:val="000000"/>
          <w:sz w:val="72"/>
          <w:szCs w:val="72"/>
          <w:highlight w:val="none"/>
        </w:rPr>
      </w:pPr>
      <w:r/>
      <w:bookmarkStart w:id="185" w:name="_Toc120614282"/>
      <w:r/>
      <w:bookmarkEnd w:id="185"/>
      <w:r/>
      <w:bookmarkStart w:id="186" w:name="_Toc49090576"/>
      <w:r/>
      <w:bookmarkEnd w:id="186"/>
      <w:r/>
      <w:bookmarkStart w:id="187" w:name="_Hlt26671244"/>
      <w:r/>
      <w:bookmarkStart w:id="188" w:name="_Hlt26955039"/>
      <w:r/>
      <w:bookmarkStart w:id="189" w:name="_Toc26554094"/>
      <w:r/>
      <w:r/>
    </w:p>
    <w:p>
      <w:pPr>
        <w:pStyle w:val="84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4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44"/>
        <w:jc w:val="center"/>
        <w:spacing w:beforeAutospacing="0" w:afterAutospacing="0"/>
        <w:rPr>
          <w:highlight w:val="none"/>
        </w:rPr>
      </w:pPr>
      <w:r>
        <w:rPr>
          <w:rFonts w:hint="eastAsia" w:ascii="宋体" w:hAnsi="宋体" w:eastAsia="宋体" w:cs="宋体"/>
          <w:b/>
          <w:color w:val="000000"/>
          <w:sz w:val="72"/>
          <w:szCs w:val="72"/>
          <w:highlight w:val="none"/>
        </w:rPr>
        <w:t xml:space="preserve">投</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件</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44"/>
        <w:ind w:firstLine="1084"/>
        <w:jc w:val="both"/>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44"/>
        <w:ind w:firstLine="1084"/>
        <w:jc w:val="both"/>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（加盖CA电子公章）</w:t>
      </w:r>
      <w:r/>
    </w:p>
    <w:p>
      <w:pPr>
        <w:pStyle w:val="84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u w:val="single"/>
        </w:rPr>
        <w:t xml:space="preserve">             </w:t>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highlight w:val="none"/>
        </w:rPr>
      </w:r>
      <w:r/>
    </w:p>
    <w:p>
      <w:pPr>
        <w:pStyle w:val="844"/>
        <w:jc w:val="center"/>
        <w:spacing w:beforeAutospacing="0" w:afterAutospacing="0" w:line="0" w:lineRule="atLeast"/>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p>
    <w:p>
      <w:pPr>
        <w:pStyle w:val="844"/>
        <w:jc w:val="center"/>
        <w:spacing w:beforeAutospacing="0" w:afterAutospacing="0" w:line="0" w:lineRule="atLeast"/>
        <w:rPr>
          <w:highlight w:val="none"/>
        </w:rPr>
      </w:pPr>
      <w:r>
        <w:rPr>
          <w:highlight w:val="none"/>
        </w:rPr>
        <w:t xml:space="preserve"> </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w:t>
      </w:r>
      <w:r>
        <w:rPr>
          <w:rFonts w:hint="eastAsia" w:ascii="宋体" w:hAnsi="宋体" w:eastAsia="宋体" w:cs="宋体"/>
          <w:i w:val="0"/>
          <w:iCs/>
          <w:color w:val="0000ff"/>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844"/>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4"/>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4"/>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六、特定资格要求的证明文件</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八、投标函</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十一、联合体协议</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十二、投标分项报价表</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44"/>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44"/>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left="0" w:firstLine="480"/>
        <w:keepLines w:val="0"/>
        <w:keepNext w:val="0"/>
        <w:pageBreakBefore w:val="0"/>
        <w:spacing w:line="480" w:lineRule="exact"/>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十六、承诺函（格式）</w:t>
      </w:r>
      <w:r/>
    </w:p>
    <w:p>
      <w:pPr>
        <w:ind w:left="0" w:firstLine="480"/>
        <w:keepLines w:val="0"/>
        <w:keepNext w:val="0"/>
        <w:pageBreakBefore w:val="0"/>
        <w:spacing w:line="480" w:lineRule="exact"/>
        <w:widowControl/>
        <w:rPr>
          <w:rFonts w:ascii="宋体" w:hAnsi="宋体" w:eastAsia="宋体" w:cs="宋体"/>
          <w:i w:val="0"/>
          <w:iCs/>
          <w:color w:val="000000"/>
          <w:sz w:val="24"/>
          <w:highlight w:val="none"/>
          <w:u w:val="none"/>
        </w:rPr>
      </w:pPr>
      <w:r>
        <w:rPr>
          <w:rFonts w:hint="eastAsia" w:ascii="宋体" w:hAnsi="宋体" w:cs="宋体"/>
          <w:i w:val="0"/>
          <w:iCs/>
          <w:color w:val="000000"/>
          <w:sz w:val="24"/>
          <w:highlight w:val="none"/>
          <w:u w:val="none"/>
          <w:lang w:val="en-US" w:eastAsia="zh-CN"/>
        </w:rPr>
        <w:t xml:space="preserve">十七、</w:t>
      </w:r>
      <w:r>
        <w:rPr>
          <w:rFonts w:hint="eastAsia" w:ascii="宋体" w:hAnsi="宋体" w:eastAsia="宋体" w:cs="宋体"/>
          <w:i w:val="0"/>
          <w:iCs/>
          <w:color w:val="000000"/>
          <w:sz w:val="24"/>
          <w:highlight w:val="none"/>
          <w:u w:val="none"/>
        </w:rPr>
        <w:t xml:space="preserve">技术方案、服务承诺、培训承诺等</w:t>
      </w:r>
      <w:r/>
    </w:p>
    <w:p>
      <w:pPr>
        <w:pStyle w:val="844"/>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44"/>
        <w:ind w:firstLine="480"/>
        <w:jc w:val="both"/>
        <w:spacing w:beforeAutospacing="0" w:afterAutospacing="0" w:line="0" w:lineRule="atLeast"/>
        <w:rPr>
          <w:sz w:val="28"/>
          <w:szCs w:val="28"/>
          <w:highlight w:val="none"/>
        </w:rPr>
      </w:pPr>
      <w:r>
        <w:rPr>
          <w:sz w:val="28"/>
          <w:szCs w:val="28"/>
          <w:highlight w:val="none"/>
        </w:rPr>
      </w:r>
      <w:r/>
    </w:p>
    <w:p>
      <w:pPr>
        <w:pStyle w:val="844"/>
        <w:ind w:firstLine="0"/>
        <w:jc w:val="both"/>
        <w:keepLines w:val="0"/>
        <w:keepNext w:val="0"/>
        <w:pageBreakBefore w:val="0"/>
        <w:spacing w:beforeAutospacing="0" w:afterAutospacing="0" w:line="360" w:lineRule="auto"/>
        <w:widowControl w:val="off"/>
        <w:rPr>
          <w:rFonts w:hint="eastAsia" w:ascii="宋体" w:hAnsi="宋体" w:eastAsia="宋体" w:cs="宋体"/>
          <w:b/>
          <w:bCs/>
          <w:color w:val="0000ff"/>
          <w:sz w:val="22"/>
          <w:szCs w:val="22"/>
        </w:rPr>
      </w:pPr>
      <w:r>
        <w:rPr>
          <w:rFonts w:hint="eastAsia" w:ascii="宋体" w:hAnsi="宋体" w:eastAsia="宋体" w:cs="宋体"/>
          <w:b/>
          <w:bCs/>
          <w:color w:val="0000ff"/>
          <w:sz w:val="22"/>
          <w:szCs w:val="22"/>
        </w:rPr>
        <w:t xml:space="preserve">特别提示：电子投标文件制作时建议将本项目投标文件“封面”上传至“目录”项内。</w:t>
      </w:r>
      <w:r/>
    </w:p>
    <w:p>
      <w:pPr>
        <w:pStyle w:val="844"/>
        <w:ind w:firstLine="480"/>
        <w:jc w:val="both"/>
        <w:spacing w:beforeAutospacing="0" w:afterAutospacing="0" w:line="0" w:lineRule="atLeast"/>
        <w:rPr>
          <w:highlight w:val="none"/>
        </w:rPr>
      </w:pPr>
      <w:r>
        <w:rPr>
          <w:highlight w:val="none"/>
        </w:rPr>
      </w:r>
      <w:r/>
    </w:p>
    <w:p>
      <w:pPr>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4"/>
        <w:ind w:firstLine="480"/>
        <w:jc w:val="both"/>
        <w:spacing w:beforeAutospacing="0" w:afterAutospacing="0" w:line="0" w:lineRule="atLeast"/>
        <w:rPr>
          <w:highlight w:val="none"/>
        </w:rPr>
      </w:pPr>
      <w:r>
        <w:rPr>
          <w:highlight w:val="none"/>
        </w:rPr>
        <w:t xml:space="preserve"> </w:t>
      </w:r>
      <w:r/>
    </w:p>
    <w:p>
      <w:pPr>
        <w:pStyle w:val="844"/>
        <w:jc w:val="both"/>
        <w:spacing w:beforeAutospacing="0" w:afterAutospacing="0"/>
        <w:rPr>
          <w:rFonts w:hint="eastAsia" w:eastAsia="黑体"/>
          <w:highlight w:val="none"/>
          <w:lang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pStyle w:val="844"/>
        <w:ind w:firstLine="492"/>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至少提供资产负债表、利润表、现金流量表，</w:t>
      </w:r>
      <w:r>
        <w:rPr>
          <w:rFonts w:hint="eastAsia" w:ascii="宋体" w:hAnsi="宋体" w:eastAsia="宋体" w:cs="宋体"/>
          <w:color w:val="000000"/>
          <w:highlight w:val="none"/>
        </w:rPr>
        <w:t xml:space="preserve">投标人成立不满一年无需提供</w:t>
      </w:r>
      <w:r>
        <w:rPr>
          <w:rFonts w:hint="eastAsia" w:ascii="宋体" w:hAnsi="宋体" w:eastAsia="宋体" w:cs="宋体"/>
          <w:color w:val="000000"/>
          <w:highlight w:val="none"/>
          <w:lang w:eastAsia="zh-CN"/>
        </w:rPr>
        <w:t xml:space="preserve">。</w:t>
      </w:r>
      <w:r/>
    </w:p>
    <w:p>
      <w:pPr>
        <w:pStyle w:val="844"/>
        <w:ind w:firstLine="492"/>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4"/>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44"/>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4"/>
        <w:jc w:val="center"/>
        <w:spacing w:beforeAutospacing="0" w:afterAutospacing="0"/>
        <w:rPr>
          <w:rFonts w:ascii="黑体" w:hAnsi="宋体" w:eastAsia="黑体" w:cs="黑体"/>
          <w:i/>
          <w:color w:val="000000"/>
          <w:sz w:val="32"/>
          <w:szCs w:val="32"/>
          <w:highlight w:val="none"/>
          <w:u w:val="single"/>
        </w:rPr>
      </w:pPr>
      <w:r/>
      <w:bookmarkStart w:id="190" w:name="_Toc120614284"/>
      <w:r/>
      <w:r/>
    </w:p>
    <w:p>
      <w:pPr>
        <w:pStyle w:val="84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4"/>
        <w:jc w:val="center"/>
        <w:spacing w:beforeAutospacing="0" w:afterAutospacing="0"/>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七、法人授权书</w:t>
      </w:r>
      <w:r/>
    </w:p>
    <w:p>
      <w:pPr>
        <w:pStyle w:val="8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44"/>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本授权书于______年____月____日起生效，特此声明。</w:t>
      </w:r>
      <w:r/>
    </w:p>
    <w:p>
      <w:pPr>
        <w:pStyle w:val="844"/>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844"/>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844"/>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4"/>
        <w:ind w:firstLine="480"/>
        <w:jc w:val="both"/>
        <w:spacing w:beforeAutospacing="0" w:afterAutospacing="0"/>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1" w:name="_Hlt26955070"/>
      <w:r/>
      <w:bookmarkStart w:id="192" w:name="_Hlt26671380"/>
      <w:r/>
      <w:bookmarkStart w:id="193" w:name="_格式3__银行出具的资信证明"/>
      <w:r>
        <w:rPr>
          <w:rFonts w:ascii="Times New Roman" w:hAnsi="Times New Roman"/>
          <w:color w:val="000000"/>
          <w:highlight w:val="none"/>
          <w:u w:val="single"/>
        </w:rPr>
        <w:t xml:space="preserve">                                         </w:t>
      </w:r>
      <w:r/>
    </w:p>
    <w:p>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p>
    <w:p>
      <w:pPr>
        <w:pStyle w:val="844"/>
        <w:ind w:firstLine="339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844"/>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江苏建威建设管理有限公司</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4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44"/>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4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44"/>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lang w:eastAsia="zh-CN"/>
        </w:rPr>
        <w:t xml:space="preserve">江苏建威建设管理有限公司</w:t>
      </w:r>
      <w:r>
        <w:rPr>
          <w:rFonts w:hint="eastAsia"/>
          <w:color w:val="000000"/>
          <w:sz w:val="24"/>
          <w:highlight w:val="none"/>
        </w:rPr>
        <w:t xml:space="preserve">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w:t>
      </w:r>
      <w:r>
        <w:rPr>
          <w:rFonts w:hint="eastAsia"/>
          <w:color w:val="000000"/>
          <w:sz w:val="24"/>
          <w:highlight w:val="none"/>
          <w:lang w:val="en-US" w:eastAsia="zh-CN"/>
        </w:rPr>
        <w:t xml:space="preserve">货物</w:t>
      </w:r>
      <w:r>
        <w:rPr>
          <w:rFonts w:hint="eastAsia"/>
          <w:color w:val="000000"/>
          <w:sz w:val="24"/>
          <w:highlight w:val="none"/>
        </w:rPr>
        <w:t xml:space="preserve">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；制造商企业为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4"/>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；制造商企业为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844"/>
        <w:ind w:right="720"/>
        <w:jc w:val="both"/>
        <w:spacing w:beforeAutospacing="0" w:afterAutospacing="0" w:line="0" w:lineRule="atLeast"/>
        <w:rPr>
          <w:color w:val="000000"/>
          <w:highlight w:val="none"/>
        </w:rPr>
      </w:pPr>
      <w:r>
        <w:rPr>
          <w:color w:val="000000"/>
          <w:highlight w:val="none"/>
        </w:rPr>
        <w:t xml:space="preserve"> </w:t>
      </w:r>
      <w:r/>
    </w:p>
    <w:p>
      <w:pPr>
        <w:pStyle w:val="844"/>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p>
    <w:p>
      <w:pPr>
        <w:pStyle w:val="844"/>
        <w:ind w:right="480" w:firstLine="540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p>
    <w:p>
      <w:pPr>
        <w:pStyle w:val="844"/>
        <w:ind w:firstLine="240"/>
        <w:jc w:val="both"/>
        <w:spacing w:beforeAutospacing="0" w:afterAutospacing="0" w:line="0" w:lineRule="atLeast"/>
        <w:rPr>
          <w:color w:val="000000"/>
          <w:highlight w:val="none"/>
        </w:rPr>
      </w:pPr>
      <w:r>
        <w:rPr>
          <w:color w:val="000000"/>
          <w:highlight w:val="none"/>
        </w:rPr>
        <w:t xml:space="preserve"> </w:t>
      </w:r>
      <w:r/>
    </w:p>
    <w:p>
      <w:pPr>
        <w:pStyle w:val="84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4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44"/>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十、残疾人福利性单位声明函（分包号：**）</w:t>
      </w:r>
      <w:r/>
    </w:p>
    <w:p>
      <w:pPr>
        <w:pStyle w:val="8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4"/>
        <w:ind w:firstLine="480"/>
        <w:jc w:val="both"/>
        <w:spacing w:beforeAutospacing="0" w:afterAutospacing="0" w:line="0" w:lineRule="atLeast"/>
        <w:rPr>
          <w:highlight w:val="none"/>
        </w:rPr>
      </w:pPr>
      <w:r>
        <w:rPr>
          <w:highlight w:val="none"/>
        </w:rPr>
        <w:t xml:space="preserve"> </w:t>
      </w:r>
      <w:r/>
    </w:p>
    <w:p>
      <w:pPr>
        <w:pStyle w:val="8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44"/>
        <w:ind w:firstLine="624"/>
        <w:jc w:val="both"/>
        <w:spacing w:beforeAutospacing="0" w:afterAutospacing="0" w:line="0" w:lineRule="atLeast"/>
        <w:rPr>
          <w:highlight w:val="none"/>
        </w:rPr>
      </w:pPr>
      <w:r>
        <w:rPr>
          <w:highlight w:val="none"/>
        </w:rPr>
        <w:t xml:space="preserve"> </w:t>
      </w:r>
      <w:r/>
    </w:p>
    <w:p>
      <w:pPr>
        <w:pStyle w:val="84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4"/>
        <w:jc w:val="center"/>
        <w:spacing w:beforeAutospacing="0" w:afterAutospacing="0" w:line="0" w:lineRule="atLeast"/>
        <w:rPr>
          <w:highlight w:val="none"/>
        </w:rPr>
      </w:pPr>
      <w:r>
        <w:rPr>
          <w:highlight w:val="none"/>
        </w:rPr>
        <w:t xml:space="preserve"> </w:t>
      </w:r>
      <w:r/>
    </w:p>
    <w:p>
      <w:pPr>
        <w:rPr>
          <w:highlight w:val="none"/>
        </w:rPr>
      </w:pPr>
      <w:r>
        <w:rPr>
          <w:highlight w:val="none"/>
        </w:rPr>
        <w:br w:type="page" w:clear="all"/>
      </w:r>
      <w:r/>
    </w:p>
    <w:p>
      <w:pPr>
        <w:pStyle w:val="844"/>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844"/>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江苏建威建设管理有限公司</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4"/>
        <w:ind w:firstLine="645"/>
        <w:jc w:val="both"/>
        <w:spacing w:beforeAutospacing="0" w:afterAutospacing="0" w:line="0" w:lineRule="atLeast"/>
        <w:rPr>
          <w:highlight w:val="none"/>
        </w:rPr>
      </w:pPr>
      <w:r>
        <w:rPr>
          <w:highlight w:val="none"/>
        </w:rPr>
        <w:t xml:space="preserve"> </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44"/>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44"/>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44"/>
        <w:ind w:firstLine="645"/>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line="0" w:lineRule="atLeast"/>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844"/>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十二、投标分项报价表（分包号：***）</w:t>
      </w:r>
      <w:r/>
    </w:p>
    <w:tbl>
      <w:tblPr>
        <w:tblStyle w:val="645"/>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4"/>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4"/>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4"/>
              <w:jc w:val="both"/>
              <w:spacing w:beforeAutospacing="0" w:afterAutospacing="0"/>
              <w:rPr>
                <w:highlight w:val="none"/>
              </w:rPr>
            </w:pPr>
            <w:r>
              <w:rPr>
                <w:highlight w:val="none"/>
              </w:rPr>
              <w:t xml:space="preserve"> </w:t>
            </w:r>
            <w:r/>
          </w:p>
        </w:tc>
      </w:tr>
    </w:tbl>
    <w:p>
      <w:pPr>
        <w:pStyle w:val="844"/>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844"/>
        <w:jc w:val="both"/>
        <w:spacing w:beforeAutospacing="0" w:afterAutospacing="0"/>
        <w:rPr>
          <w:highlight w:val="none"/>
          <w:shd w:val="clear" w:color="auto" w:fill="auto"/>
        </w:rPr>
      </w:pPr>
      <w:r>
        <w:rPr>
          <w:highlight w:val="none"/>
          <w:shd w:val="clear" w:color="auto" w:fill="auto"/>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十三、技术要求响应及偏离表（分包号：**）</w:t>
      </w:r>
      <w:r/>
    </w:p>
    <w:tbl>
      <w:tblPr>
        <w:tblStyle w:val="64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bl>
    <w:p>
      <w:pPr>
        <w:pStyle w:val="84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center"/>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pStyle w:val="844"/>
        <w:jc w:val="both"/>
        <w:spacing w:beforeAutospacing="0" w:afterAutospacing="0"/>
        <w:rPr>
          <w:highlight w:val="none"/>
        </w:rPr>
      </w:pPr>
      <w:r>
        <w:rPr>
          <w:highlight w:val="none"/>
        </w:rPr>
        <w:t xml:space="preserve"> </w:t>
      </w:r>
      <w:r/>
    </w:p>
    <w:p>
      <w:pPr>
        <w:shd w:val="clear" w:color="auto"/>
        <w:rPr>
          <w:highlight w:val="none"/>
        </w:rPr>
      </w:pPr>
      <w:r>
        <w:rPr>
          <w:rFonts w:hint="eastAsia" w:ascii="黑体" w:hAnsi="宋体" w:eastAsia="黑体" w:cs="黑体"/>
          <w:b/>
          <w:color w:val="000000"/>
          <w:sz w:val="32"/>
          <w:szCs w:val="32"/>
          <w:highlight w:val="none"/>
        </w:rPr>
        <w:br w:type="page" w:clear="all"/>
      </w:r>
      <w:r/>
    </w:p>
    <w:p>
      <w:pPr>
        <w:pStyle w:val="844"/>
        <w:jc w:val="center"/>
        <w:spacing w:beforeAutospacing="0" w:afterAutospacing="0"/>
        <w:rPr>
          <w:rFonts w:hint="eastAsia" w:ascii="黑体" w:hAnsi="宋体" w:eastAsia="黑体" w:cs="黑体"/>
          <w:b/>
          <w:bCs/>
          <w:color w:val="000000"/>
          <w:sz w:val="32"/>
          <w:szCs w:val="32"/>
          <w:highlight w:val="none"/>
        </w:rPr>
      </w:pPr>
      <w:r/>
      <w:bookmarkStart w:id="194" w:name="_Hlt26955054"/>
      <w:r>
        <w:rPr>
          <w:rFonts w:hint="eastAsia" w:ascii="黑体" w:hAnsi="宋体" w:eastAsia="黑体" w:cs="黑体"/>
          <w:b/>
          <w:color w:val="000000"/>
          <w:sz w:val="32"/>
          <w:szCs w:val="32"/>
          <w:highlight w:val="none"/>
        </w:rPr>
        <w:t xml:space="preserve">十四、商务要求响应及偏离表（分包号：**）</w:t>
      </w:r>
      <w:r/>
    </w:p>
    <w:tbl>
      <w:tblPr>
        <w:tblStyle w:val="64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bookmarkStart w:id="195" w:name="_Hlt26955064"/>
            <w:r/>
            <w:bookmarkStart w:id="196" w:name="_Hlt26609391"/>
            <w:r/>
            <w:bookmarkStart w:id="197" w:name="_Hlt26782999"/>
            <w:r/>
            <w:bookmarkStart w:id="198" w:name="_Hlt26580838"/>
            <w:r/>
            <w:bookmarkStart w:id="199" w:name="_Hlt24879081"/>
            <w:r/>
            <w:bookmarkStart w:id="200" w:name="_Hlt26955056"/>
            <w:r/>
            <w:bookmarkStart w:id="201" w:name="_Hlt26671372"/>
            <w:r/>
            <w:bookmarkStart w:id="202" w:name="_Hlt26671343"/>
            <w:r>
              <w:rPr>
                <w:rFonts w:hint="eastAsia" w:ascii="宋体" w:hAnsi="宋体" w:eastAsia="宋体" w:cs="宋体"/>
                <w:color w:val="000000"/>
                <w:highlight w:val="none"/>
              </w:rPr>
              <w:t xml:space="preserve">序号</w:t>
            </w:r>
            <w:bookmarkEnd w:id="195"/>
            <w:r/>
            <w:bookmarkEnd w:id="196"/>
            <w:r/>
            <w:bookmarkEnd w:id="197"/>
            <w:r/>
            <w:bookmarkEnd w:id="198"/>
            <w:r/>
            <w:bookmarkEnd w:id="199"/>
            <w:r/>
            <w:bookmarkEnd w:id="200"/>
            <w:r/>
            <w:bookmarkEnd w:id="201"/>
            <w:r/>
            <w:bookmarkEnd w:id="20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4"/>
              <w:jc w:val="center"/>
              <w:spacing w:beforeAutospacing="0" w:afterAutospacing="0"/>
              <w:rPr>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4"/>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4"/>
              <w:jc w:val="center"/>
              <w:spacing w:beforeAutospacing="0" w:afterAutospacing="0"/>
              <w:rPr>
                <w:highlight w:val="none"/>
              </w:rPr>
            </w:pPr>
            <w:r>
              <w:rPr>
                <w:highlight w:val="none"/>
              </w:rPr>
              <w:t xml:space="preserve"> </w:t>
            </w:r>
            <w:r/>
          </w:p>
        </w:tc>
      </w:tr>
    </w:tbl>
    <w:p>
      <w:pPr>
        <w:pStyle w:val="84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4"/>
        <w:jc w:val="both"/>
        <w:spacing w:beforeAutospacing="0" w:afterAutospacing="0"/>
        <w:rPr>
          <w:highlight w:val="none"/>
        </w:rPr>
      </w:pPr>
      <w:r/>
      <w:bookmarkStart w:id="203" w:name="_格式2__法定代表人授权书"/>
      <w:r/>
      <w:bookmarkStart w:id="204" w:name="_Hlt26955066"/>
      <w:r/>
      <w:bookmarkStart w:id="205" w:name="_Hlt26609389"/>
      <w:r/>
      <w:bookmarkStart w:id="206" w:name="_Toc462564146"/>
      <w:r/>
      <w:bookmarkStart w:id="207" w:name="_Hlt26671374"/>
      <w:r/>
      <w:r/>
    </w:p>
    <w:p>
      <w:pPr>
        <w:jc w:val="center"/>
        <w:rPr>
          <w:highlight w:val="none"/>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t xml:space="preserve">十五、开标一览表（总价）</w:t>
      </w:r>
      <w:r/>
    </w:p>
    <w:p>
      <w:pPr>
        <w:pStyle w:val="680"/>
      </w:pPr>
      <w:r/>
      <w:r/>
    </w:p>
    <w:p>
      <w:pPr>
        <w:pStyle w:val="856"/>
        <w:jc w:val="center"/>
        <w:rPr>
          <w:rFonts w:ascii="仿宋" w:hAnsi="仿宋" w:eastAsia="仿宋" w:cs="仿宋"/>
          <w:b/>
          <w:color w:val="0000ff"/>
          <w:sz w:val="24"/>
          <w:lang w:val="en-US" w:eastAsia="zh-CN"/>
        </w:rPr>
      </w:pP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rPr>
        <w:t xml:space="preserve">政府采购客户端工具输入报价自动生成</w:t>
      </w: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lang w:val="en-US" w:eastAsia="zh-CN"/>
        </w:rPr>
        <w:t xml:space="preserve">无需单独提供</w:t>
      </w:r>
      <w:r>
        <w:rPr>
          <w:rFonts w:hint="eastAsia" w:ascii="仿宋" w:hAnsi="仿宋" w:eastAsia="仿宋" w:cs="仿宋"/>
          <w:i/>
          <w:iCs/>
          <w:color w:val="0000ff"/>
          <w:sz w:val="32"/>
          <w:szCs w:val="32"/>
          <w:u w:val="single"/>
          <w:lang w:eastAsia="zh-CN"/>
        </w:rPr>
        <w:t xml:space="preserve">）</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rPr>
          <w:rFonts w:ascii="Calibri" w:hAnsi="Calibri" w:eastAsia="Calibri" w:cs="Calibri"/>
          <w:color w:val="000000"/>
          <w:sz w:val="24"/>
        </w:rPr>
        <w:t xml:space="preserve">CA</w:t>
      </w:r>
      <w:r>
        <w:rPr>
          <w:rFonts w:ascii="宋体" w:hAnsi="宋体" w:eastAsia="宋体" w:cs="宋体"/>
          <w:color w:val="000000"/>
          <w:sz w:val="24"/>
        </w:rPr>
        <w:t xml:space="preserve">公章）： 供应商名称</w:t>
      </w:r>
      <w:r>
        <w:rPr>
          <w:rFonts w:ascii="Calibri" w:hAnsi="Calibri" w:eastAsia="Calibri" w:cs="Calibri"/>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项目名称：江苏省盐城技师学院电气工程学院工业机器人应用与维护设备设施采购项目</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项目编号：JSZC-320900-JSJW-G2025-0060</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rPr>
          <w:rFonts w:ascii="Calibri" w:hAnsi="Calibri" w:eastAsia="Calibri" w:cs="Calibri"/>
          <w:color w:val="000000"/>
          <w:sz w:val="24"/>
        </w:rPr>
        <w:t xml:space="preserve">1</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投标产品名称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元</w:t>
            </w:r>
            <w:r/>
          </w:p>
        </w:tc>
      </w:tr>
      <w:tr>
        <w:trPr>
          <w:trHeight w:val="9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ascii="宋体" w:hAnsi="宋体" w:eastAsia="宋体" w:cs="宋体"/>
          <w:color w:val="000000"/>
          <w:sz w:val="24"/>
        </w:rPr>
        <w:t xml:space="preserve">年      月    日</w:t>
      </w:r>
      <w:r/>
    </w:p>
    <w:p>
      <w:pPr>
        <w:pStyle w:val="844"/>
        <w:jc w:val="right"/>
        <w:keepLines w:val="0"/>
        <w:keepNext w:val="0"/>
        <w:widowControl/>
        <w:rPr>
          <w:rFonts w:hint="eastAsia" w:ascii="宋体" w:hAnsi="宋体" w:eastAsia="宋体" w:cs="宋体"/>
        </w:rPr>
        <w:suppressLineNumbers w:val="0"/>
      </w:pPr>
      <w:r>
        <w:rPr>
          <w:rFonts w:hint="eastAsia" w:ascii="宋体" w:hAnsi="宋体" w:eastAsia="宋体" w:cs="宋体"/>
        </w:rPr>
      </w:r>
      <w:r/>
    </w:p>
    <w:p>
      <w:pPr>
        <w:rPr>
          <w:highlight w:val="none"/>
        </w:rPr>
      </w:pPr>
      <w:r>
        <w:rPr>
          <w:highlight w:val="none"/>
        </w:rPr>
      </w:r>
      <w:r/>
    </w:p>
    <w:p>
      <w:pPr>
        <w:pStyle w:val="635"/>
        <w:ind w:left="0" w:right="0" w:firstLine="0"/>
        <w:jc w:val="center"/>
        <w:keepLines w:val="0"/>
        <w:keepNext w:val="0"/>
        <w:pageBreakBefore w:val="0"/>
        <w:spacing w:before="0" w:beforeAutospacing="0" w:after="0" w:afterAutospacing="0" w:line="360" w:lineRule="exact"/>
        <w:widowControl/>
        <w:rPr>
          <w:rFonts w:hint="default" w:ascii="宋体" w:hAnsi="宋体" w:eastAsia="宋体" w:cs="宋体"/>
          <w:b/>
          <w:bCs/>
          <w:color w:val="333333"/>
          <w:sz w:val="32"/>
          <w:szCs w:val="32"/>
          <w:shd w:val="clear" w:color="auto" w:fill="ffffff"/>
          <w:lang w:val="en-US" w:eastAsia="zh-CN"/>
        </w:rPr>
        <w:suppressLineNumbers w:val="0"/>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32"/>
          <w:szCs w:val="32"/>
          <w:highlight w:val="none"/>
        </w:rPr>
        <w:t xml:space="preserve">十六、</w:t>
      </w:r>
      <w:r>
        <w:rPr>
          <w:rFonts w:hint="eastAsia" w:ascii="宋体" w:hAnsi="宋体" w:eastAsia="宋体" w:cs="宋体"/>
          <w:b/>
          <w:bCs/>
          <w:color w:val="000000"/>
          <w:sz w:val="32"/>
          <w:szCs w:val="32"/>
          <w:highlight w:val="none"/>
          <w:lang w:val="en-US" w:eastAsia="zh-CN"/>
        </w:rPr>
        <w:t xml:space="preserve">承诺函（格式）</w:t>
      </w:r>
      <w:r/>
    </w:p>
    <w:p>
      <w:pPr>
        <w:pStyle w:val="635"/>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333333"/>
          <w:sz w:val="32"/>
          <w:szCs w:val="32"/>
          <w:shd w:val="clear" w:color="auto" w:fill="ffffff"/>
          <w:lang w:val="en-US" w:eastAsia="zh-CN"/>
        </w:rPr>
        <w:suppressLineNumbers w:val="0"/>
      </w:pPr>
      <w:r>
        <w:rPr>
          <w:rFonts w:hint="eastAsia" w:ascii="宋体" w:hAnsi="宋体" w:eastAsia="宋体" w:cs="宋体"/>
          <w:b/>
          <w:bCs/>
          <w:color w:val="333333"/>
          <w:sz w:val="32"/>
          <w:szCs w:val="32"/>
          <w:shd w:val="clear" w:color="auto" w:fill="ffffff"/>
          <w:lang w:val="en-US" w:eastAsia="zh-CN"/>
        </w:rPr>
      </w:r>
      <w:r/>
    </w:p>
    <w:p>
      <w:pPr>
        <w:pStyle w:val="635"/>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333333"/>
          <w:sz w:val="32"/>
          <w:szCs w:val="32"/>
          <w:shd w:val="clear" w:color="auto" w:fill="ffffff"/>
          <w:lang w:val="en-US" w:eastAsia="zh-CN"/>
        </w:rPr>
        <w:suppressLineNumbers w:val="0"/>
      </w:pPr>
      <w:r>
        <w:rPr>
          <w:rFonts w:hint="eastAsia" w:ascii="宋体" w:hAnsi="宋体" w:eastAsia="宋体" w:cs="宋体"/>
          <w:b/>
          <w:bCs/>
          <w:color w:val="333333"/>
          <w:sz w:val="32"/>
          <w:szCs w:val="32"/>
          <w:shd w:val="clear" w:color="auto" w:fill="ffffff"/>
          <w:lang w:val="en-US" w:eastAsia="zh-CN"/>
        </w:rPr>
        <w:t xml:space="preserve">格式一：</w:t>
      </w:r>
      <w:r/>
    </w:p>
    <w:p>
      <w:pPr>
        <w:pStyle w:val="635"/>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333333"/>
          <w:sz w:val="32"/>
          <w:szCs w:val="32"/>
          <w:shd w:val="clear" w:color="auto" w:fill="ffffff"/>
          <w:lang w:val="en-US" w:eastAsia="zh-CN"/>
        </w:rPr>
        <w:suppressLineNumbers w:val="0"/>
      </w:pPr>
      <w:r>
        <w:rPr>
          <w:rFonts w:hint="eastAsia" w:cs="宋体"/>
          <w:b/>
          <w:bCs/>
          <w:color w:val="333333"/>
          <w:sz w:val="32"/>
          <w:szCs w:val="32"/>
          <w:shd w:val="clear" w:color="auto" w:fill="ffffff"/>
          <w:lang w:val="en-US" w:eastAsia="zh-CN"/>
        </w:rPr>
        <w:t xml:space="preserve">承诺函</w:t>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rPr>
        <w:suppressLineNumbers w:val="0"/>
      </w:pPr>
      <w:r>
        <w:rPr>
          <w:rFonts w:hint="eastAsia" w:ascii="宋体" w:hAnsi="宋体" w:eastAsia="宋体" w:cs="宋体"/>
          <w:color w:val="333333"/>
          <w:sz w:val="24"/>
          <w:szCs w:val="24"/>
          <w:shd w:val="clear" w:color="auto" w:fill="ffffff"/>
        </w:rPr>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lang w:eastAsia="zh-CN"/>
        </w:rPr>
        <w:suppressLineNumbers w:val="0"/>
      </w:pPr>
      <w:r>
        <w:rPr>
          <w:rFonts w:hint="eastAsia" w:ascii="宋体" w:hAnsi="宋体" w:eastAsia="宋体" w:cs="宋体"/>
          <w:color w:val="333333"/>
          <w:sz w:val="24"/>
          <w:szCs w:val="24"/>
          <w:shd w:val="clear" w:color="auto" w:fill="ffffff"/>
        </w:rPr>
        <w:t xml:space="preserve">我</w:t>
      </w:r>
      <w:r>
        <w:rPr>
          <w:rFonts w:hint="eastAsia" w:ascii="宋体" w:hAnsi="宋体" w:eastAsia="宋体" w:cs="宋体"/>
          <w:color w:val="333333"/>
          <w:sz w:val="24"/>
          <w:szCs w:val="24"/>
          <w:shd w:val="clear" w:color="auto" w:fill="ffffff"/>
          <w:lang w:val="en-US" w:eastAsia="zh-CN"/>
        </w:rPr>
        <w:t xml:space="preserve">单位</w:t>
      </w:r>
      <w:r>
        <w:rPr>
          <w:rFonts w:hint="eastAsia" w:ascii="宋体" w:hAnsi="宋体" w:eastAsia="宋体" w:cs="宋体"/>
          <w:color w:val="333333"/>
          <w:sz w:val="24"/>
          <w:szCs w:val="24"/>
          <w:shd w:val="clear" w:color="auto" w:fill="ffffff"/>
        </w:rPr>
        <w:t xml:space="preserve">郑重承诺：本次投标所提供的工业机器人本体及示教器完全满足招标文件</w:t>
      </w:r>
      <w:r>
        <w:rPr>
          <w:rFonts w:hint="eastAsia" w:ascii="宋体" w:hAnsi="宋体" w:eastAsia="宋体" w:cs="宋体"/>
          <w:color w:val="333333"/>
          <w:sz w:val="24"/>
          <w:szCs w:val="24"/>
          <w:shd w:val="clear" w:color="auto" w:fill="ffffff"/>
          <w:lang w:val="en-US" w:eastAsia="zh-CN"/>
        </w:rPr>
        <w:t xml:space="preserve">第四章 </w:t>
      </w:r>
      <w:r>
        <w:rPr>
          <w:rFonts w:hint="eastAsia" w:ascii="宋体" w:hAnsi="宋体" w:eastAsia="宋体" w:cs="宋体"/>
          <w:color w:val="333333"/>
          <w:sz w:val="24"/>
          <w:szCs w:val="24"/>
          <w:shd w:val="clear" w:color="auto" w:fill="ffffff"/>
        </w:rPr>
        <w:t xml:space="preserve">机器人系统集成平台</w:t>
      </w:r>
      <w:r>
        <w:rPr>
          <w:rFonts w:hint="eastAsia" w:ascii="宋体" w:hAnsi="宋体" w:eastAsia="宋体" w:cs="宋体"/>
          <w:color w:val="333333"/>
          <w:sz w:val="24"/>
          <w:szCs w:val="24"/>
          <w:shd w:val="clear" w:color="auto" w:fill="ffffff"/>
          <w:lang w:val="en-US" w:eastAsia="zh-CN"/>
        </w:rPr>
        <w:t xml:space="preserve">中“</w:t>
      </w:r>
      <w:r>
        <w:rPr>
          <w:rFonts w:hint="eastAsia" w:ascii="宋体" w:hAnsi="宋体" w:eastAsia="宋体" w:cs="宋体"/>
          <w:color w:val="333333"/>
          <w:sz w:val="24"/>
          <w:szCs w:val="24"/>
          <w:shd w:val="clear" w:color="auto" w:fill="ffffff"/>
        </w:rPr>
        <w:t xml:space="preserve">★ 1.3示教器技术参数</w:t>
      </w:r>
      <w:r>
        <w:rPr>
          <w:rFonts w:hint="eastAsia" w:ascii="宋体" w:hAnsi="宋体" w:eastAsia="宋体" w:cs="宋体"/>
          <w:color w:val="333333"/>
          <w:sz w:val="24"/>
          <w:szCs w:val="24"/>
          <w:shd w:val="clear" w:color="auto" w:fill="ffffff"/>
          <w:lang w:val="en-US" w:eastAsia="zh-CN"/>
        </w:rPr>
        <w:t xml:space="preserve">”的</w:t>
      </w:r>
      <w:r>
        <w:rPr>
          <w:rFonts w:hint="eastAsia" w:ascii="宋体" w:hAnsi="宋体" w:eastAsia="宋体" w:cs="宋体"/>
          <w:color w:val="333333"/>
          <w:sz w:val="24"/>
          <w:szCs w:val="24"/>
          <w:shd w:val="clear" w:color="auto" w:fill="ffffff"/>
        </w:rPr>
        <w:t xml:space="preserve">要求</w:t>
      </w:r>
      <w:r>
        <w:rPr>
          <w:rFonts w:hint="eastAsia" w:ascii="宋体" w:hAnsi="宋体" w:eastAsia="宋体" w:cs="宋体"/>
          <w:color w:val="333333"/>
          <w:sz w:val="24"/>
          <w:szCs w:val="24"/>
          <w:shd w:val="clear" w:color="auto" w:fill="ffffff"/>
          <w:lang w:eastAsia="zh-CN"/>
        </w:rPr>
        <w:t xml:space="preserve">。</w:t>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rPr>
        <w:suppressLineNumbers w:val="0"/>
      </w:pPr>
      <w:r>
        <w:rPr>
          <w:rFonts w:hint="eastAsia" w:ascii="宋体" w:hAnsi="宋体" w:eastAsia="宋体" w:cs="宋体"/>
          <w:color w:val="333333"/>
          <w:sz w:val="24"/>
          <w:szCs w:val="24"/>
          <w:shd w:val="clear" w:color="auto" w:fill="ffffff"/>
        </w:rPr>
        <w:t xml:space="preserve">若我</w:t>
      </w:r>
      <w:r>
        <w:rPr>
          <w:rFonts w:hint="eastAsia" w:ascii="宋体" w:hAnsi="宋体" w:eastAsia="宋体" w:cs="宋体"/>
          <w:color w:val="333333"/>
          <w:sz w:val="24"/>
          <w:szCs w:val="24"/>
          <w:shd w:val="clear" w:color="auto" w:fill="ffffff"/>
          <w:lang w:val="en-US" w:eastAsia="zh-CN"/>
        </w:rPr>
        <w:t xml:space="preserve">单位</w:t>
      </w:r>
      <w:r>
        <w:rPr>
          <w:rFonts w:hint="eastAsia" w:ascii="宋体" w:hAnsi="宋体" w:eastAsia="宋体" w:cs="宋体"/>
          <w:color w:val="333333"/>
          <w:sz w:val="24"/>
          <w:szCs w:val="24"/>
          <w:shd w:val="clear" w:color="auto" w:fill="ffffff"/>
        </w:rPr>
        <w:t xml:space="preserve">中标，将在中标通知书发出后</w:t>
      </w:r>
      <w:r>
        <w:rPr>
          <w:rFonts w:hint="eastAsia" w:ascii="宋体" w:hAnsi="宋体" w:eastAsia="宋体" w:cs="宋体"/>
          <w:color w:val="333333"/>
          <w:sz w:val="24"/>
          <w:szCs w:val="24"/>
          <w:shd w:val="clear" w:color="auto" w:fill="ffffff"/>
          <w:lang w:val="en-US" w:eastAsia="zh-CN"/>
        </w:rPr>
        <w:t xml:space="preserve">合同签定前，</w:t>
      </w:r>
      <w:r>
        <w:rPr>
          <w:rFonts w:hint="eastAsia" w:ascii="宋体" w:hAnsi="宋体" w:eastAsia="宋体" w:cs="宋体"/>
          <w:color w:val="333333"/>
          <w:sz w:val="24"/>
          <w:szCs w:val="24"/>
          <w:shd w:val="clear" w:color="auto" w:fill="ffffff"/>
        </w:rPr>
        <w:t xml:space="preserve">提供机器人本体生产厂商出具的正式授权书原件，包含设备一致性确认及技术符合性声明。我方自愿接受取消中标资格、列入采购不良记录名单等处罚</w:t>
      </w:r>
      <w:r>
        <w:rPr>
          <w:rFonts w:hint="eastAsia"/>
        </w:rPr>
        <w:t xml:space="preserve">。</w:t>
      </w:r>
      <w:r/>
    </w:p>
    <w:p>
      <w:pPr>
        <w:ind w:left="0" w:right="0" w:firstLine="336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highlight w:val="none"/>
        </w:rPr>
      </w:r>
      <w:r/>
    </w:p>
    <w:p>
      <w:pPr>
        <w:ind w:left="0" w:right="0" w:firstLine="336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highlight w:val="none"/>
        </w:rPr>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供应商全称（加盖CA电子公章）</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日期：______年______月______日</w:t>
      </w:r>
      <w:r/>
    </w:p>
    <w:p>
      <w:pPr>
        <w:rPr>
          <w:rFonts w:hint="eastAsia" w:ascii="宋体" w:hAnsi="宋体" w:eastAsia="宋体" w:cs="宋体"/>
          <w:b/>
          <w:bCs/>
          <w:color w:val="333333"/>
          <w:sz w:val="32"/>
          <w:szCs w:val="32"/>
          <w:shd w:val="clear" w:color="auto" w:fill="ffffff"/>
          <w:lang w:val="en-US" w:eastAsia="zh-CN"/>
        </w:rPr>
      </w:pPr>
      <w:r>
        <w:rPr>
          <w:rFonts w:hint="eastAsia" w:ascii="宋体" w:hAnsi="宋体" w:eastAsia="宋体" w:cs="宋体"/>
          <w:b/>
          <w:bCs/>
          <w:color w:val="333333"/>
          <w:sz w:val="32"/>
          <w:szCs w:val="32"/>
          <w:shd w:val="clear" w:color="auto" w:fill="ffffff"/>
          <w:lang w:val="en-US" w:eastAsia="zh-CN"/>
        </w:rPr>
        <w:br w:type="page" w:clear="all"/>
      </w:r>
      <w:r/>
    </w:p>
    <w:p>
      <w:pPr>
        <w:pStyle w:val="635"/>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333333"/>
          <w:sz w:val="32"/>
          <w:szCs w:val="32"/>
          <w:shd w:val="clear" w:color="auto" w:fill="ffffff"/>
          <w:lang w:val="en-US" w:eastAsia="zh-CN"/>
        </w:rPr>
        <w:suppressLineNumbers w:val="0"/>
      </w:pPr>
      <w:r>
        <w:rPr>
          <w:rFonts w:hint="eastAsia" w:ascii="宋体" w:hAnsi="宋体" w:eastAsia="宋体" w:cs="宋体"/>
          <w:b/>
          <w:bCs/>
          <w:color w:val="333333"/>
          <w:sz w:val="32"/>
          <w:szCs w:val="32"/>
          <w:shd w:val="clear" w:color="auto" w:fill="ffffff"/>
          <w:lang w:val="en-US" w:eastAsia="zh-CN"/>
        </w:rPr>
        <w:t xml:space="preserve">格式二：</w:t>
      </w:r>
      <w:r/>
    </w:p>
    <w:p>
      <w:pPr>
        <w:rPr>
          <w:rFonts w:hint="eastAsia" w:ascii="宋体" w:hAnsi="宋体" w:eastAsia="宋体" w:cs="宋体"/>
          <w:b/>
          <w:bCs/>
          <w:color w:val="333333"/>
          <w:sz w:val="32"/>
          <w:szCs w:val="32"/>
          <w:shd w:val="clear" w:color="auto" w:fill="ffffff"/>
        </w:rPr>
      </w:pPr>
      <w:r>
        <w:rPr>
          <w:rFonts w:hint="eastAsia" w:ascii="宋体" w:hAnsi="宋体" w:eastAsia="宋体" w:cs="宋体"/>
          <w:b/>
          <w:bCs/>
          <w:color w:val="333333"/>
          <w:sz w:val="32"/>
          <w:szCs w:val="32"/>
          <w:shd w:val="clear" w:color="auto" w:fill="ffffff"/>
        </w:rPr>
      </w:r>
      <w:r/>
    </w:p>
    <w:p>
      <w:pPr>
        <w:pStyle w:val="635"/>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b/>
          <w:bCs/>
          <w:sz w:val="32"/>
          <w:szCs w:val="32"/>
        </w:rPr>
        <w:suppressLineNumbers w:val="0"/>
      </w:pPr>
      <w:r>
        <w:rPr>
          <w:rFonts w:hint="eastAsia" w:ascii="宋体" w:hAnsi="宋体" w:eastAsia="宋体" w:cs="宋体"/>
          <w:b/>
          <w:bCs/>
          <w:color w:val="333333"/>
          <w:sz w:val="32"/>
          <w:szCs w:val="32"/>
          <w:shd w:val="clear" w:color="auto" w:fill="ffffff"/>
        </w:rPr>
        <w:t xml:space="preserve">RFID软件知识产权承诺函</w:t>
      </w:r>
      <w:r/>
    </w:p>
    <w:p>
      <w:pPr>
        <w:ind w:left="0" w:right="0" w:firstLine="0"/>
        <w:jc w:val="left"/>
        <w:keepLines w:val="0"/>
        <w:keepNext w:val="0"/>
        <w:pageBreakBefore w:val="0"/>
        <w:spacing w:beforeAutospacing="0" w:afterAutospacing="0" w:line="360" w:lineRule="exact"/>
        <w:shd w:val="clear" w:color="auto" w:fill="ffffff"/>
        <w:widowControl/>
        <w:rPr>
          <w:rFonts w:hint="eastAsia" w:ascii="宋体" w:hAnsi="宋体" w:eastAsia="宋体" w:cs="宋体"/>
          <w:color w:val="333333"/>
          <w:sz w:val="24"/>
          <w:szCs w:val="24"/>
          <w:shd w:val="clear" w:color="auto" w:fill="ffffff"/>
        </w:rPr>
        <w:pBdr>
          <w:top w:val="none" w:color="auto" w:sz="0" w:space="0"/>
          <w:bottom w:val="none" w:color="auto" w:sz="0" w:space="0"/>
        </w:pBdr>
        <w:suppressLineNumbers w:val="0"/>
      </w:pPr>
      <w:r>
        <w:rPr>
          <w:rFonts w:hint="eastAsia" w:ascii="宋体" w:hAnsi="宋体" w:eastAsia="宋体" w:cs="宋体"/>
          <w:color w:val="333333"/>
          <w:sz w:val="24"/>
          <w:szCs w:val="24"/>
          <w:shd w:val="clear" w:color="auto" w:fill="ffffff"/>
        </w:rPr>
      </w:r>
      <w:r/>
    </w:p>
    <w:p>
      <w:pPr>
        <w:ind w:left="0" w:right="0" w:firstLine="0"/>
        <w:jc w:val="left"/>
        <w:keepLines w:val="0"/>
        <w:keepNext w:val="0"/>
        <w:pageBreakBefore w:val="0"/>
        <w:spacing w:beforeAutospacing="0" w:afterAutospacing="0" w:line="360" w:lineRule="exact"/>
        <w:shd w:val="clear" w:color="auto" w:fill="ffffff"/>
        <w:widowControl/>
        <w:rPr>
          <w:rFonts w:hint="eastAsia" w:ascii="宋体" w:hAnsi="宋体" w:eastAsia="宋体" w:cs="宋体"/>
          <w:color w:val="333333"/>
          <w:sz w:val="24"/>
          <w:szCs w:val="24"/>
          <w:shd w:val="clear" w:color="auto" w:fill="ffffff"/>
        </w:rPr>
        <w:pBdr>
          <w:top w:val="none" w:color="auto" w:sz="0" w:space="0"/>
          <w:bottom w:val="none" w:color="auto" w:sz="0" w:space="0"/>
        </w:pBdr>
        <w:suppressLineNumbers w:val="0"/>
      </w:pPr>
      <w:r>
        <w:rPr>
          <w:rFonts w:hint="eastAsia" w:ascii="宋体" w:hAnsi="宋体" w:eastAsia="宋体" w:cs="宋体"/>
          <w:color w:val="333333"/>
          <w:sz w:val="24"/>
          <w:szCs w:val="24"/>
          <w:shd w:val="clear" w:color="auto" w:fill="ffffff"/>
        </w:rPr>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u w:val="single"/>
          <w:shd w:val="clear" w:color="auto" w:fill="ffffff"/>
          <w:lang w:val="en-US" w:eastAsia="zh-CN"/>
        </w:rPr>
        <w:suppressLineNumbers w:val="0"/>
      </w:pPr>
      <w:r>
        <w:rPr>
          <w:rFonts w:hint="eastAsia" w:ascii="宋体" w:hAnsi="宋体" w:eastAsia="宋体" w:cs="宋体"/>
          <w:color w:val="333333"/>
          <w:sz w:val="24"/>
          <w:szCs w:val="24"/>
          <w:shd w:val="clear" w:color="auto" w:fill="ffffff"/>
          <w:lang w:val="en-US" w:eastAsia="zh-CN"/>
        </w:rPr>
        <w:t xml:space="preserve">致：</w:t>
      </w:r>
      <w:r>
        <w:rPr>
          <w:rFonts w:hint="eastAsia" w:ascii="宋体" w:hAnsi="宋体" w:eastAsia="宋体" w:cs="宋体"/>
          <w:color w:val="333333"/>
          <w:sz w:val="24"/>
          <w:szCs w:val="24"/>
          <w:u w:val="single"/>
          <w:shd w:val="clear" w:color="auto" w:fill="ffffff"/>
          <w:lang w:val="en-US" w:eastAsia="zh-CN"/>
        </w:rPr>
        <w:t xml:space="preserve">江苏省盐城技师学院</w:t>
      </w:r>
      <w:r>
        <w:rPr>
          <w:rFonts w:hint="eastAsia" w:ascii="宋体" w:hAnsi="宋体" w:eastAsia="宋体" w:cs="宋体"/>
          <w:color w:val="333333"/>
          <w:sz w:val="24"/>
          <w:szCs w:val="24"/>
          <w:u w:val="none"/>
          <w:shd w:val="clear" w:color="auto" w:fill="ffffff"/>
          <w:lang w:val="en-US" w:eastAsia="zh-CN"/>
        </w:rPr>
        <w:t xml:space="preserve">（采购人）</w:t>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rPr>
        <w:suppressLineNumbers w:val="0"/>
      </w:pPr>
      <w:r>
        <w:rPr>
          <w:rFonts w:hint="eastAsia" w:ascii="宋体" w:hAnsi="宋体" w:eastAsia="宋体" w:cs="宋体"/>
          <w:color w:val="333333"/>
          <w:sz w:val="24"/>
          <w:szCs w:val="24"/>
          <w:shd w:val="clear" w:color="auto" w:fill="ffffff"/>
        </w:rPr>
        <w:t xml:space="preserve">我方确认所供RFID软件不侵犯任何第三方的软件著作权、专利权、商标权或其他所有权。如因我方提供的RFID软件引发知识产权纠纷，我方承担全部法律责任（包括但不限于诉讼费、律师费、赔偿金等），并赔偿采购方因此遭受的一切直接和间接损失。</w:t>
      </w:r>
      <w:r/>
    </w:p>
    <w:p>
      <w:pPr>
        <w:pStyle w:val="671"/>
        <w:ind w:left="0" w:right="0" w:firstLine="480"/>
        <w:jc w:val="left"/>
        <w:keepLines w:val="0"/>
        <w:keepNext w:val="0"/>
        <w:pageBreakBefore w:val="0"/>
        <w:spacing w:before="0" w:beforeAutospacing="0" w:after="0" w:afterAutospacing="0" w:line="480" w:lineRule="exact"/>
        <w:widowControl/>
        <w:rPr>
          <w:rFonts w:hint="eastAsia"/>
        </w:rPr>
        <w:suppressLineNumbers w:val="0"/>
      </w:pPr>
      <w:r>
        <w:rPr>
          <w:rFonts w:hint="eastAsia"/>
        </w:rPr>
        <w:t xml:space="preserve">本承诺函自签署之日起生效，永久有效；作为投标文件重要组成部分，与合同具有同等法律效力；若有虚假陈述，我方自愿接受取消中标资格、列入采购不良记录名单等处罚；本承诺函适用于本次招标项目及后续相关采购活动。</w:t>
      </w:r>
      <w:r/>
    </w:p>
    <w:p>
      <w:pPr>
        <w:pStyle w:val="671"/>
        <w:ind w:left="0" w:right="0" w:firstLine="480"/>
        <w:jc w:val="left"/>
        <w:keepLines w:val="0"/>
        <w:keepNext w:val="0"/>
        <w:pageBreakBefore w:val="0"/>
        <w:spacing w:before="0" w:beforeAutospacing="0" w:after="0" w:afterAutospacing="0" w:line="480" w:lineRule="exact"/>
        <w:widowControl/>
        <w:rPr>
          <w:rFonts w:hint="eastAsia"/>
        </w:rPr>
        <w:suppressLineNumbers w:val="0"/>
      </w:pPr>
      <w:r>
        <w:rPr>
          <w:rFonts w:hint="eastAsia"/>
        </w:rPr>
      </w:r>
      <w:r/>
    </w:p>
    <w:p>
      <w:pPr>
        <w:ind w:left="0" w:right="0" w:firstLine="0"/>
        <w:jc w:val="right"/>
        <w:keepLines w:val="0"/>
        <w:keepNext w:val="0"/>
        <w:pageBreakBefore w:val="0"/>
        <w:spacing w:beforeAutospacing="0" w:afterAutospacing="0" w:line="360" w:lineRule="exact"/>
        <w:shd w:val="clear" w:color="auto" w:fill="ffffff"/>
        <w:widowControl/>
        <w:rPr>
          <w:rFonts w:hint="eastAsia" w:ascii="宋体" w:hAnsi="宋体" w:eastAsia="宋体" w:cs="宋体"/>
          <w:color w:val="000000"/>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highlight w:val="none"/>
        </w:rPr>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供应商全称（加盖CA电子公章）</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日期：______年______月______日</w:t>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pStyle w:val="635"/>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333333"/>
          <w:sz w:val="32"/>
          <w:szCs w:val="32"/>
          <w:shd w:val="clear" w:color="auto" w:fill="ffffff"/>
          <w:lang w:val="en-US" w:eastAsia="zh-CN"/>
        </w:rPr>
        <w:suppressLineNumbers w:val="0"/>
      </w:pPr>
      <w:r>
        <w:rPr>
          <w:rFonts w:hint="eastAsia" w:ascii="宋体" w:hAnsi="宋体" w:eastAsia="宋体" w:cs="宋体"/>
          <w:b/>
          <w:bCs/>
          <w:color w:val="333333"/>
          <w:sz w:val="32"/>
          <w:szCs w:val="32"/>
          <w:shd w:val="clear" w:color="auto" w:fill="ffffff"/>
          <w:lang w:val="en-US" w:eastAsia="zh-CN"/>
        </w:rPr>
        <w:t xml:space="preserve">格式三：</w:t>
      </w:r>
      <w:r/>
    </w:p>
    <w:p>
      <w:pPr>
        <w:pStyle w:val="834"/>
        <w:rPr>
          <w:rFonts w:hint="eastAsia"/>
        </w:rPr>
      </w:pPr>
      <w:r>
        <w:rPr>
          <w:rFonts w:hint="eastAsia"/>
        </w:rPr>
      </w:r>
      <w:r/>
    </w:p>
    <w:p>
      <w:pPr>
        <w:pStyle w:val="635"/>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b/>
          <w:bCs/>
          <w:color w:val="333333"/>
          <w:sz w:val="32"/>
          <w:szCs w:val="32"/>
          <w:shd w:val="clear" w:color="auto" w:fill="ffffff"/>
        </w:rPr>
        <w:suppressLineNumbers w:val="0"/>
      </w:pPr>
      <w:r>
        <w:rPr>
          <w:rFonts w:hint="eastAsia" w:ascii="宋体" w:hAnsi="宋体" w:eastAsia="宋体" w:cs="宋体"/>
          <w:b/>
          <w:bCs/>
          <w:color w:val="333333"/>
          <w:sz w:val="32"/>
          <w:szCs w:val="32"/>
          <w:shd w:val="clear" w:color="auto" w:fill="ffffff"/>
        </w:rPr>
        <w:t xml:space="preserve">虚拟拆装仿真系统软件知识产权承诺函</w:t>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rPr>
        <w:suppressLineNumbers w:val="0"/>
      </w:pPr>
      <w:r>
        <w:rPr>
          <w:rFonts w:hint="eastAsia" w:ascii="宋体" w:hAnsi="宋体" w:eastAsia="宋体" w:cs="宋体"/>
          <w:color w:val="333333"/>
          <w:sz w:val="24"/>
          <w:szCs w:val="24"/>
          <w:shd w:val="clear" w:color="auto" w:fill="ffffff"/>
        </w:rPr>
      </w:r>
      <w:r/>
    </w:p>
    <w:p>
      <w:pPr>
        <w:pStyle w:val="671"/>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color w:val="333333"/>
          <w:sz w:val="24"/>
          <w:szCs w:val="24"/>
          <w:shd w:val="clear" w:color="auto" w:fill="ffffff"/>
        </w:rPr>
        <w:suppressLineNumbers w:val="0"/>
      </w:pPr>
      <w:r>
        <w:rPr>
          <w:rFonts w:hint="eastAsia" w:ascii="宋体" w:hAnsi="宋体" w:eastAsia="宋体" w:cs="宋体"/>
          <w:color w:val="333333"/>
          <w:sz w:val="24"/>
          <w:szCs w:val="24"/>
          <w:shd w:val="clear" w:color="auto" w:fill="ffffff"/>
        </w:rPr>
        <w:t xml:space="preserve">我</w:t>
      </w:r>
      <w:r>
        <w:rPr>
          <w:rFonts w:hint="eastAsia" w:ascii="宋体" w:hAnsi="宋体" w:eastAsia="宋体" w:cs="宋体"/>
          <w:color w:val="333333"/>
          <w:sz w:val="24"/>
          <w:szCs w:val="24"/>
          <w:shd w:val="clear" w:color="auto" w:fill="ffffff"/>
          <w:lang w:val="en-US" w:eastAsia="zh-CN"/>
        </w:rPr>
        <w:t xml:space="preserve">单位</w:t>
      </w:r>
      <w:r>
        <w:rPr>
          <w:rFonts w:hint="eastAsia" w:ascii="宋体" w:hAnsi="宋体" w:eastAsia="宋体" w:cs="宋体"/>
          <w:color w:val="333333"/>
          <w:sz w:val="24"/>
          <w:szCs w:val="24"/>
          <w:shd w:val="clear" w:color="auto" w:fill="ffffff"/>
        </w:rPr>
        <w:t xml:space="preserve">郑重承诺：所供虚拟拆装仿真系统</w:t>
      </w:r>
      <w:r>
        <w:rPr>
          <w:rFonts w:hint="eastAsia" w:ascii="宋体" w:hAnsi="宋体" w:eastAsia="宋体" w:cs="宋体"/>
          <w:color w:val="333333"/>
          <w:sz w:val="24"/>
          <w:szCs w:val="24"/>
          <w:shd w:val="clear" w:color="auto" w:fill="ffffff"/>
          <w:lang w:val="en-US" w:eastAsia="zh-CN"/>
        </w:rPr>
        <w:t xml:space="preserve">软件</w:t>
      </w:r>
      <w:r>
        <w:rPr>
          <w:rFonts w:hint="eastAsia" w:ascii="宋体" w:hAnsi="宋体" w:eastAsia="宋体" w:cs="宋体"/>
          <w:color w:val="333333"/>
          <w:sz w:val="24"/>
          <w:szCs w:val="24"/>
          <w:shd w:val="clear" w:color="auto" w:fill="ffffff"/>
        </w:rPr>
        <w:t xml:space="preserve">不侵犯任何第三方的软件著作权、专利权、商标权或其他所有权。如因我方提供的软件引发知识产权纠纷，我方承担全部法律责任（包括但不限于诉讼费、律师费、赔偿金等），并赔偿采购方因此遭受的一切直接和间接损失。</w:t>
      </w:r>
      <w:r/>
    </w:p>
    <w:p>
      <w:pPr>
        <w:pStyle w:val="671"/>
        <w:ind w:left="0" w:right="0" w:firstLine="480"/>
        <w:jc w:val="left"/>
        <w:keepLines w:val="0"/>
        <w:keepNext w:val="0"/>
        <w:pageBreakBefore w:val="0"/>
        <w:spacing w:before="0" w:beforeAutospacing="0" w:after="0" w:afterAutospacing="0" w:line="480" w:lineRule="exact"/>
        <w:widowControl/>
        <w:rPr>
          <w:rFonts w:hint="eastAsia"/>
        </w:rPr>
        <w:suppressLineNumbers w:val="0"/>
      </w:pPr>
      <w:r>
        <w:rPr>
          <w:rFonts w:hint="eastAsia"/>
        </w:rPr>
        <w:t xml:space="preserve">本承诺函自签署之日起生效，永久有效；作为投标文件重要组成部分，与合同具有同等法律效力；若有虚假陈述，我方自愿接受取消中标资格、列入采购不良记录名单等处罚；本承诺函适用于本次招标项目及后续相关采购活动。</w:t>
      </w:r>
      <w:r/>
    </w:p>
    <w:p>
      <w:pPr>
        <w:pStyle w:val="671"/>
        <w:ind w:left="0" w:right="0" w:firstLine="480"/>
        <w:jc w:val="left"/>
        <w:keepLines w:val="0"/>
        <w:keepNext w:val="0"/>
        <w:pageBreakBefore w:val="0"/>
        <w:spacing w:before="0" w:beforeAutospacing="0" w:after="0" w:afterAutospacing="0" w:line="480" w:lineRule="exact"/>
        <w:widowControl/>
        <w:rPr>
          <w:rFonts w:hint="eastAsia"/>
        </w:rPr>
        <w:suppressLineNumbers w:val="0"/>
      </w:pPr>
      <w:r>
        <w:rPr>
          <w:rFonts w:hint="eastAsia"/>
        </w:rPr>
      </w:r>
      <w:r/>
    </w:p>
    <w:p>
      <w:pPr>
        <w:ind w:left="0" w:right="0" w:firstLine="0"/>
        <w:jc w:val="right"/>
        <w:keepLines w:val="0"/>
        <w:keepNext w:val="0"/>
        <w:pageBreakBefore w:val="0"/>
        <w:spacing w:beforeAutospacing="0" w:afterAutospacing="0" w:line="360" w:lineRule="exact"/>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供应商全称（加盖CA电子公章）</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p>
    <w:p>
      <w:pPr>
        <w:ind w:left="0" w:right="0" w:firstLine="3840"/>
        <w:jc w:val="left"/>
        <w:keepLines w:val="0"/>
        <w:keepNext w:val="0"/>
        <w:pageBreakBefore w:val="0"/>
        <w:spacing w:beforeAutospacing="0" w:afterAutospacing="0" w:line="48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日期：______年______月______日</w:t>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jc w:val="center"/>
        <w:spacing w:before="50" w:after="50"/>
        <w:widowControl/>
        <w:rPr>
          <w:rFonts w:ascii="宋体" w:hAnsi="宋体" w:eastAsia="宋体" w:cs="宋体"/>
          <w:sz w:val="24"/>
          <w:highlight w:val="none"/>
        </w:rPr>
      </w:pPr>
      <w:r>
        <w:rPr>
          <w:rFonts w:hint="eastAsia" w:ascii="宋体" w:hAnsi="宋体" w:cs="宋体"/>
          <w:color w:val="000000"/>
          <w:sz w:val="32"/>
          <w:szCs w:val="32"/>
          <w:highlight w:val="none"/>
          <w:lang w:val="en-US" w:eastAsia="zh-CN"/>
        </w:rPr>
        <w:t xml:space="preserve">十七、</w:t>
      </w:r>
      <w:r>
        <w:rPr>
          <w:rFonts w:hint="eastAsia" w:ascii="宋体" w:hAnsi="宋体" w:eastAsia="宋体" w:cs="宋体"/>
          <w:color w:val="000000"/>
          <w:sz w:val="32"/>
          <w:szCs w:val="32"/>
          <w:highlight w:val="none"/>
        </w:rPr>
        <w:t xml:space="preserve">技术方案、服务承诺、培训承诺等</w:t>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left"/>
        <w:spacing w:beforeAutospacing="0" w:afterAutospacing="0"/>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十</w:t>
      </w:r>
      <w:r>
        <w:rPr>
          <w:rFonts w:hint="eastAsia" w:ascii="宋体" w:hAnsi="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4"/>
        <w:jc w:val="center"/>
        <w:spacing w:beforeAutospacing="0" w:afterAutospacing="0"/>
        <w:rPr>
          <w:highlight w:val="none"/>
        </w:rPr>
      </w:pPr>
      <w:r>
        <w:rPr>
          <w:highlight w:val="none"/>
        </w:rPr>
      </w:r>
      <w:r/>
    </w:p>
    <w:p>
      <w:pPr>
        <w:shd w:val="clear" w:color="auto"/>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84"/>
      <w:r/>
      <w:bookmarkEnd w:id="187"/>
      <w:r/>
      <w:bookmarkEnd w:id="188"/>
      <w:r/>
      <w:bookmarkEnd w:id="189"/>
      <w:r/>
      <w:bookmarkEnd w:id="190"/>
      <w:r/>
      <w:bookmarkEnd w:id="191"/>
      <w:r/>
      <w:bookmarkEnd w:id="192"/>
      <w:r/>
      <w:bookmarkEnd w:id="193"/>
      <w:r/>
      <w:bookmarkEnd w:id="194"/>
      <w:r/>
      <w:bookmarkEnd w:id="203"/>
      <w:r/>
      <w:bookmarkEnd w:id="204"/>
      <w:r/>
      <w:bookmarkEnd w:id="205"/>
      <w:r/>
      <w:bookmarkEnd w:id="206"/>
      <w:r/>
      <w:bookmarkEnd w:id="207"/>
      <w:r/>
      <w:r/>
    </w:p>
    <w:p>
      <w:pPr>
        <w:pStyle w:val="84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4"/>
        <w:rPr>
          <w:rFonts w:ascii="宋体" w:hAnsi="宋体" w:eastAsia="宋体" w:cs="宋体"/>
        </w:rPr>
      </w:pPr>
      <w:r>
        <w:rPr>
          <w:rFonts w:ascii="宋体" w:hAnsi="宋体" w:eastAsia="宋体" w:cs="宋体"/>
        </w:rPr>
      </w:r>
      <w:r/>
    </w:p>
    <w:p>
      <w:pPr>
        <w:pStyle w:val="844"/>
        <w:rPr>
          <w:rFonts w:ascii="宋体" w:hAnsi="宋体" w:eastAsia="宋体" w:cs="宋体"/>
        </w:rPr>
      </w:pPr>
      <w:r>
        <w:rPr>
          <w:rFonts w:ascii="宋体" w:hAnsi="宋体" w:eastAsia="宋体" w:cs="宋体"/>
        </w:rPr>
      </w:r>
      <w:r/>
    </w:p>
    <w:p>
      <w:pPr>
        <w:pStyle w:val="844"/>
        <w:rPr>
          <w:rFonts w:ascii="宋体" w:hAnsi="宋体" w:eastAsia="宋体" w:cs="宋体"/>
        </w:rPr>
      </w:pPr>
      <w:r>
        <w:rPr>
          <w:rFonts w:ascii="宋体" w:hAnsi="宋体" w:eastAsia="宋体" w:cs="宋体"/>
        </w:rPr>
      </w:r>
      <w:r/>
    </w:p>
    <w:p>
      <w:pPr>
        <w:pStyle w:val="844"/>
        <w:rPr>
          <w:rFonts w:ascii="宋体" w:hAnsi="宋体" w:eastAsia="宋体" w:cs="宋体"/>
        </w:rPr>
      </w:pPr>
      <w:r>
        <w:rPr>
          <w:rFonts w:ascii="宋体" w:hAnsi="宋体" w:eastAsia="宋体" w:cs="宋体"/>
        </w:rPr>
      </w:r>
      <w:r/>
    </w:p>
    <w:p>
      <w:pPr>
        <w:pStyle w:val="844"/>
        <w:jc w:val="center"/>
        <w:rPr>
          <w:rFonts w:ascii="宋体" w:hAnsi="宋体" w:eastAsia="宋体" w:cs="宋体"/>
        </w:rPr>
      </w:pPr>
      <w:r>
        <w:rPr>
          <w:rFonts w:ascii="宋体" w:hAnsi="宋体" w:eastAsia="宋体" w:cs="宋体"/>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等线">
    <w:panose1 w:val="02010600030101010101"/>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fldChar w:fldCharType="begin"/>
    </w:r>
    <w:r>
      <w:instrText xml:space="preserve">PAGE \* MERGEFORMAT</w:instrText>
    </w:r>
    <w:r>
      <w:fldChar w:fldCharType="separate"/>
    </w:r>
    <w:r>
      <w:t xml:space="preserve">1</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link w:val="864"/>
    <w:uiPriority w:val="0"/>
    <w:qFormat/>
    <w:pPr>
      <w:jc w:val="both"/>
      <w:widowControl w:val="off"/>
    </w:pPr>
    <w:rPr>
      <w:rFonts w:hint="default" w:ascii="Calibri" w:hAnsi="Calibri" w:eastAsia="宋体" w:cs="Times New Roman"/>
      <w:sz w:val="21"/>
      <w:szCs w:val="24"/>
      <w:lang w:val="en-US" w:eastAsia="zh-CN" w:bidi="ar-SA"/>
    </w:rPr>
  </w:style>
  <w:style w:type="paragraph" w:styleId="635">
    <w:name w:val="Heading 1"/>
    <w:basedOn w:val="634"/>
    <w:next w:val="634"/>
    <w:link w:val="681"/>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82"/>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83"/>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8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85"/>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86"/>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88"/>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89"/>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First Indent 2"/>
    <w:basedOn w:val="647"/>
    <w:next w:val="649"/>
    <w:uiPriority w:val="0"/>
    <w:qFormat/>
    <w:pPr>
      <w:ind w:firstLine="420"/>
      <w:spacing w:line="360" w:lineRule="auto"/>
    </w:pPr>
    <w:rPr>
      <w:rFonts w:ascii="宋体" w:eastAsia="仿宋"/>
      <w:sz w:val="24"/>
      <w:szCs w:val="21"/>
    </w:rPr>
  </w:style>
  <w:style w:type="paragraph" w:styleId="647">
    <w:name w:val="Body Text Indent"/>
    <w:basedOn w:val="634"/>
    <w:next w:val="648"/>
    <w:uiPriority w:val="0"/>
    <w:qFormat/>
    <w:pPr>
      <w:ind w:left="420"/>
      <w:spacing w:after="120"/>
    </w:pPr>
  </w:style>
  <w:style w:type="paragraph" w:styleId="648">
    <w:name w:val="envelope return"/>
    <w:basedOn w:val="634"/>
    <w:uiPriority w:val="0"/>
    <w:qFormat/>
    <w:pPr>
      <w:spacing w:line="360" w:lineRule="auto"/>
    </w:pPr>
    <w:rPr>
      <w:rFonts w:ascii="Arial" w:hAnsi="Arial" w:eastAsia="仿宋" w:cs="Arial"/>
      <w:sz w:val="28"/>
      <w:szCs w:val="21"/>
    </w:rPr>
  </w:style>
  <w:style w:type="paragraph" w:styleId="649" w:customStyle="1">
    <w:name w:val="样式 标题 3 + (中文) 黑体 小四 非加粗 段前: 7.8 磅 段后: 0 磅 行距: 固定值 20 磅_0"/>
    <w:basedOn w:val="634"/>
    <w:uiPriority w:val="0"/>
    <w:qFormat/>
    <w:pPr>
      <w:keepLines/>
      <w:keepNext/>
      <w:spacing w:line="400" w:lineRule="exact"/>
      <w:outlineLvl w:val="2"/>
    </w:pPr>
    <w:rPr>
      <w:rFonts w:eastAsia="黑体" w:cs="宋体"/>
      <w:szCs w:val="21"/>
    </w:rPr>
  </w:style>
  <w:style w:type="paragraph" w:styleId="650">
    <w:name w:val="toc 7"/>
    <w:basedOn w:val="634"/>
    <w:next w:val="634"/>
    <w:uiPriority w:val="39"/>
    <w:unhideWhenUsed/>
    <w:qFormat/>
    <w:pPr>
      <w:ind w:left="1701" w:right="0" w:firstLine="0"/>
      <w:spacing w:after="57"/>
    </w:pPr>
  </w:style>
  <w:style w:type="paragraph" w:styleId="651">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annotation text"/>
    <w:basedOn w:val="634"/>
    <w:uiPriority w:val="99"/>
    <w:semiHidden/>
    <w:unhideWhenUsed/>
    <w:qFormat/>
    <w:pPr>
      <w:jc w:val="left"/>
    </w:pPr>
  </w:style>
  <w:style w:type="paragraph" w:styleId="653">
    <w:name w:val="Body Text"/>
    <w:basedOn w:val="634"/>
    <w:next w:val="654"/>
    <w:uiPriority w:val="0"/>
    <w:qFormat/>
    <w:rPr>
      <w:rFonts w:ascii="仿宋_GB2312" w:eastAsia="仿宋_GB2312"/>
      <w:sz w:val="32"/>
    </w:rPr>
  </w:style>
  <w:style w:type="paragraph" w:styleId="654" w:customStyle="1">
    <w:name w:val="Default"/>
    <w:basedOn w:val="634"/>
    <w:next w:val="655"/>
    <w:uiPriority w:val="0"/>
    <w:semiHidden/>
    <w:qFormat/>
    <w:pPr>
      <w:jc w:val="left"/>
    </w:pPr>
    <w:rPr>
      <w:rFonts w:ascii="宋体" w:hAnsi="Calibri" w:cs="宋体"/>
      <w:color w:val="000000"/>
      <w:sz w:val="24"/>
    </w:rPr>
  </w:style>
  <w:style w:type="paragraph" w:styleId="655" w:customStyle="1">
    <w:name w:val="TOC 71"/>
    <w:next w:val="634"/>
    <w:uiPriority w:val="0"/>
    <w:qFormat/>
    <w:pPr>
      <w:ind w:left="2550"/>
      <w:jc w:val="both"/>
    </w:pPr>
    <w:rPr>
      <w:rFonts w:hint="default" w:ascii="Times New Roman" w:hAnsi="Times New Roman" w:eastAsia="宋体" w:cs="Times New Roman"/>
      <w:sz w:val="21"/>
      <w:szCs w:val="22"/>
      <w:lang w:val="en-US" w:eastAsia="zh-CN" w:bidi="ar-SA"/>
    </w:rPr>
  </w:style>
  <w:style w:type="paragraph" w:styleId="656">
    <w:name w:val="toc 5"/>
    <w:basedOn w:val="634"/>
    <w:next w:val="634"/>
    <w:uiPriority w:val="39"/>
    <w:unhideWhenUsed/>
    <w:qFormat/>
    <w:pPr>
      <w:ind w:left="1134" w:right="0" w:firstLine="0"/>
      <w:spacing w:after="57"/>
    </w:pPr>
  </w:style>
  <w:style w:type="paragraph" w:styleId="657">
    <w:name w:val="toc 3"/>
    <w:basedOn w:val="634"/>
    <w:next w:val="634"/>
    <w:uiPriority w:val="39"/>
    <w:unhideWhenUsed/>
    <w:qFormat/>
    <w:pPr>
      <w:ind w:left="567" w:right="0" w:firstLine="0"/>
      <w:spacing w:after="57"/>
    </w:pPr>
  </w:style>
  <w:style w:type="paragraph" w:styleId="658">
    <w:name w:val="toc 8"/>
    <w:basedOn w:val="634"/>
    <w:next w:val="634"/>
    <w:uiPriority w:val="39"/>
    <w:unhideWhenUsed/>
    <w:qFormat/>
    <w:pPr>
      <w:ind w:left="1984" w:right="0" w:firstLine="0"/>
      <w:spacing w:after="57"/>
    </w:pPr>
  </w:style>
  <w:style w:type="paragraph" w:styleId="659">
    <w:name w:val="endnote text"/>
    <w:basedOn w:val="634"/>
    <w:link w:val="826"/>
    <w:uiPriority w:val="99"/>
    <w:semiHidden/>
    <w:unhideWhenUsed/>
    <w:qFormat/>
    <w:pPr>
      <w:spacing w:after="0" w:line="240" w:lineRule="auto"/>
    </w:pPr>
    <w:rPr>
      <w:sz w:val="20"/>
    </w:rPr>
  </w:style>
  <w:style w:type="paragraph" w:styleId="660">
    <w:name w:val="Footer"/>
    <w:basedOn w:val="634"/>
    <w:link w:val="699"/>
    <w:uiPriority w:val="99"/>
    <w:unhideWhenUsed/>
    <w:qFormat/>
    <w:pPr>
      <w:spacing w:after="0" w:line="240" w:lineRule="auto"/>
      <w:tabs>
        <w:tab w:val="center" w:pos="7143" w:leader="none"/>
        <w:tab w:val="right" w:pos="14287" w:leader="none"/>
      </w:tabs>
    </w:pPr>
  </w:style>
  <w:style w:type="paragraph" w:styleId="661">
    <w:name w:val="Header"/>
    <w:basedOn w:val="634"/>
    <w:link w:val="697"/>
    <w:uiPriority w:val="99"/>
    <w:unhideWhenUsed/>
    <w:qFormat/>
    <w:pPr>
      <w:spacing w:after="0" w:line="240" w:lineRule="auto"/>
      <w:tabs>
        <w:tab w:val="center" w:pos="7143" w:leader="none"/>
        <w:tab w:val="right" w:pos="14287" w:leader="none"/>
      </w:tabs>
    </w:pPr>
  </w:style>
  <w:style w:type="paragraph" w:styleId="662">
    <w:name w:val="toc 1"/>
    <w:basedOn w:val="634"/>
    <w:next w:val="634"/>
    <w:uiPriority w:val="39"/>
    <w:unhideWhenUsed/>
    <w:qFormat/>
    <w:pPr>
      <w:ind w:left="0" w:right="0" w:firstLine="0"/>
      <w:spacing w:after="57"/>
    </w:pPr>
  </w:style>
  <w:style w:type="paragraph" w:styleId="663">
    <w:name w:val="toc 4"/>
    <w:basedOn w:val="634"/>
    <w:next w:val="634"/>
    <w:uiPriority w:val="39"/>
    <w:unhideWhenUsed/>
    <w:qFormat/>
    <w:pPr>
      <w:ind w:left="850" w:right="0" w:firstLine="0"/>
      <w:spacing w:after="57"/>
    </w:pPr>
  </w:style>
  <w:style w:type="paragraph" w:styleId="664">
    <w:name w:val="Subtitle"/>
    <w:basedOn w:val="634"/>
    <w:next w:val="634"/>
    <w:link w:val="692"/>
    <w:uiPriority w:val="11"/>
    <w:qFormat/>
    <w:pPr>
      <w:spacing w:before="200" w:after="200"/>
    </w:pPr>
    <w:rPr>
      <w:sz w:val="24"/>
      <w:szCs w:val="24"/>
    </w:rPr>
  </w:style>
  <w:style w:type="paragraph" w:styleId="665">
    <w:name w:val="footnote text"/>
    <w:basedOn w:val="634"/>
    <w:link w:val="825"/>
    <w:uiPriority w:val="99"/>
    <w:semiHidden/>
    <w:unhideWhenUsed/>
    <w:qFormat/>
    <w:pPr>
      <w:spacing w:after="40" w:line="240" w:lineRule="auto"/>
    </w:pPr>
    <w:rPr>
      <w:sz w:val="18"/>
    </w:rPr>
  </w:style>
  <w:style w:type="paragraph" w:styleId="666">
    <w:name w:val="toc 6"/>
    <w:basedOn w:val="634"/>
    <w:next w:val="634"/>
    <w:uiPriority w:val="39"/>
    <w:unhideWhenUsed/>
    <w:qFormat/>
    <w:pPr>
      <w:ind w:left="1417" w:right="0" w:firstLine="0"/>
      <w:spacing w:after="57"/>
    </w:pPr>
  </w:style>
  <w:style w:type="paragraph" w:styleId="667">
    <w:name w:val="table of figures"/>
    <w:basedOn w:val="634"/>
    <w:next w:val="634"/>
    <w:uiPriority w:val="99"/>
    <w:unhideWhenUsed/>
    <w:qFormat/>
    <w:pPr>
      <w:spacing w:after="0" w:afterAutospacing="0"/>
    </w:pPr>
  </w:style>
  <w:style w:type="paragraph" w:styleId="668">
    <w:name w:val="toc 2"/>
    <w:basedOn w:val="634"/>
    <w:next w:val="634"/>
    <w:uiPriority w:val="39"/>
    <w:unhideWhenUsed/>
    <w:qFormat/>
    <w:pPr>
      <w:ind w:left="283" w:right="0" w:firstLine="0"/>
      <w:spacing w:after="57"/>
    </w:pPr>
  </w:style>
  <w:style w:type="paragraph" w:styleId="669">
    <w:name w:val="toc 9"/>
    <w:basedOn w:val="634"/>
    <w:next w:val="634"/>
    <w:uiPriority w:val="39"/>
    <w:unhideWhenUsed/>
    <w:qFormat/>
    <w:pPr>
      <w:ind w:left="2268" w:right="0" w:firstLine="0"/>
      <w:spacing w:after="57"/>
    </w:pPr>
  </w:style>
  <w:style w:type="paragraph" w:styleId="670">
    <w:name w:val="HTML Preformatted"/>
    <w:basedOn w:val="63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71">
    <w:name w:val="Normal (Web)"/>
    <w:basedOn w:val="634"/>
    <w:uiPriority w:val="0"/>
    <w:qFormat/>
    <w:pPr>
      <w:ind w:left="0" w:right="0"/>
      <w:jc w:val="left"/>
      <w:spacing w:before="0" w:beforeAutospacing="1" w:after="0" w:afterAutospacing="1"/>
    </w:pPr>
    <w:rPr>
      <w:sz w:val="24"/>
      <w:lang w:val="en-US" w:eastAsia="zh-CN" w:bidi="ar"/>
    </w:rPr>
  </w:style>
  <w:style w:type="paragraph" w:styleId="672">
    <w:name w:val="Title"/>
    <w:basedOn w:val="634"/>
    <w:next w:val="634"/>
    <w:link w:val="691"/>
    <w:uiPriority w:val="10"/>
    <w:qFormat/>
    <w:pPr>
      <w:contextualSpacing/>
      <w:spacing w:before="300" w:after="200"/>
    </w:pPr>
    <w:rPr>
      <w:sz w:val="48"/>
      <w:szCs w:val="48"/>
    </w:rPr>
  </w:style>
  <w:style w:type="paragraph" w:styleId="673">
    <w:name w:val="Body Text First Indent"/>
    <w:basedOn w:val="634"/>
    <w:next w:val="634"/>
    <w:uiPriority w:val="99"/>
    <w:qFormat/>
    <w:pPr>
      <w:ind w:firstLine="200"/>
      <w:spacing w:line="360" w:lineRule="auto"/>
    </w:pPr>
    <w:rPr>
      <w:rFonts w:ascii="仿宋_GB2312" w:eastAsia="仿宋_GB2312"/>
      <w:sz w:val="30"/>
      <w:szCs w:val="30"/>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Strong"/>
    <w:basedOn w:val="644"/>
    <w:uiPriority w:val="0"/>
    <w:qFormat/>
    <w:rPr>
      <w:b/>
    </w:r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HTML Code"/>
    <w:basedOn w:val="644"/>
    <w:uiPriority w:val="0"/>
    <w:qFormat/>
    <w:rPr>
      <w:rFonts w:ascii="Courier New" w:hAnsi="Courier New"/>
      <w:sz w:val="20"/>
    </w:rPr>
  </w:style>
  <w:style w:type="character" w:styleId="679">
    <w:name w:val="footnote reference"/>
    <w:uiPriority w:val="99"/>
    <w:unhideWhenUsed/>
    <w:qFormat/>
    <w:rPr>
      <w:vertAlign w:val="superscript"/>
    </w:rPr>
  </w:style>
  <w:style w:type="paragraph" w:styleId="680" w:customStyle="1">
    <w:name w:val="正文首行缩进11"/>
    <w:basedOn w:val="634"/>
    <w:next w:val="634"/>
    <w:uiPriority w:val="99"/>
    <w:unhideWhenUsed/>
    <w:qFormat/>
    <w:pPr>
      <w:ind w:firstLine="420"/>
    </w:pPr>
    <w:rPr>
      <w:rFonts w:ascii="Times New Roman" w:hAnsi="Times New Roman"/>
    </w:rPr>
  </w:style>
  <w:style w:type="character" w:styleId="681" w:customStyle="1">
    <w:name w:val="Heading 1 Char"/>
    <w:link w:val="635"/>
    <w:uiPriority w:val="9"/>
    <w:qFormat/>
    <w:rPr>
      <w:rFonts w:ascii="Arial" w:hAnsi="Arial" w:eastAsia="Arial" w:cs="Arial"/>
      <w:sz w:val="40"/>
      <w:szCs w:val="40"/>
    </w:rPr>
  </w:style>
  <w:style w:type="character" w:styleId="682" w:customStyle="1">
    <w:name w:val="Heading 2 Char"/>
    <w:link w:val="636"/>
    <w:uiPriority w:val="9"/>
    <w:qFormat/>
    <w:rPr>
      <w:rFonts w:ascii="Arial" w:hAnsi="Arial" w:eastAsia="Arial" w:cs="Arial"/>
      <w:sz w:val="34"/>
    </w:rPr>
  </w:style>
  <w:style w:type="character" w:styleId="683" w:customStyle="1">
    <w:name w:val="Heading 3 Char"/>
    <w:link w:val="637"/>
    <w:uiPriority w:val="9"/>
    <w:qFormat/>
    <w:rPr>
      <w:rFonts w:ascii="Arial" w:hAnsi="Arial" w:eastAsia="Arial" w:cs="Arial"/>
      <w:sz w:val="30"/>
      <w:szCs w:val="30"/>
    </w:rPr>
  </w:style>
  <w:style w:type="character" w:styleId="684" w:customStyle="1">
    <w:name w:val="Heading 4 Char"/>
    <w:link w:val="638"/>
    <w:uiPriority w:val="9"/>
    <w:qFormat/>
    <w:rPr>
      <w:rFonts w:ascii="Arial" w:hAnsi="Arial" w:eastAsia="Arial" w:cs="Arial"/>
      <w:b/>
      <w:bCs/>
      <w:sz w:val="26"/>
      <w:szCs w:val="26"/>
    </w:rPr>
  </w:style>
  <w:style w:type="character" w:styleId="685" w:customStyle="1">
    <w:name w:val="Heading 5 Char"/>
    <w:link w:val="639"/>
    <w:uiPriority w:val="9"/>
    <w:qFormat/>
    <w:rPr>
      <w:rFonts w:ascii="Arial" w:hAnsi="Arial" w:eastAsia="Arial" w:cs="Arial"/>
      <w:b/>
      <w:bCs/>
      <w:sz w:val="24"/>
      <w:szCs w:val="24"/>
    </w:rPr>
  </w:style>
  <w:style w:type="character" w:styleId="686" w:customStyle="1">
    <w:name w:val="Heading 6 Char"/>
    <w:link w:val="640"/>
    <w:uiPriority w:val="9"/>
    <w:qFormat/>
    <w:rPr>
      <w:rFonts w:ascii="Arial" w:hAnsi="Arial" w:eastAsia="Arial" w:cs="Arial"/>
      <w:b/>
      <w:bCs/>
      <w:sz w:val="22"/>
      <w:szCs w:val="22"/>
    </w:rPr>
  </w:style>
  <w:style w:type="character" w:styleId="687" w:customStyle="1">
    <w:name w:val="Heading 7 Char"/>
    <w:link w:val="641"/>
    <w:uiPriority w:val="9"/>
    <w:qFormat/>
    <w:rPr>
      <w:rFonts w:ascii="Arial" w:hAnsi="Arial" w:eastAsia="Arial" w:cs="Arial"/>
      <w:b/>
      <w:bCs/>
      <w:i/>
      <w:iCs/>
      <w:sz w:val="22"/>
      <w:szCs w:val="22"/>
    </w:rPr>
  </w:style>
  <w:style w:type="character" w:styleId="688" w:customStyle="1">
    <w:name w:val="Heading 8 Char"/>
    <w:link w:val="642"/>
    <w:uiPriority w:val="9"/>
    <w:qFormat/>
    <w:rPr>
      <w:rFonts w:ascii="Arial" w:hAnsi="Arial" w:eastAsia="Arial" w:cs="Arial"/>
      <w:i/>
      <w:iCs/>
      <w:sz w:val="22"/>
      <w:szCs w:val="22"/>
    </w:rPr>
  </w:style>
  <w:style w:type="character" w:styleId="689" w:customStyle="1">
    <w:name w:val="Heading 9 Char"/>
    <w:link w:val="643"/>
    <w:uiPriority w:val="9"/>
    <w:qFormat/>
    <w:rPr>
      <w:rFonts w:ascii="Arial" w:hAnsi="Arial" w:eastAsia="Arial" w:cs="Arial"/>
      <w:i/>
      <w:iCs/>
      <w:sz w:val="21"/>
      <w:szCs w:val="21"/>
    </w:r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link w:val="672"/>
    <w:uiPriority w:val="10"/>
    <w:qFormat/>
    <w:rPr>
      <w:sz w:val="48"/>
      <w:szCs w:val="48"/>
    </w:rPr>
  </w:style>
  <w:style w:type="character" w:styleId="692" w:customStyle="1">
    <w:name w:val="Subtitle Char"/>
    <w:link w:val="664"/>
    <w:uiPriority w:val="11"/>
    <w:qFormat/>
    <w:rPr>
      <w:sz w:val="24"/>
      <w:szCs w:val="24"/>
    </w:rPr>
  </w:style>
  <w:style w:type="paragraph" w:styleId="693">
    <w:name w:val="Quote"/>
    <w:basedOn w:val="634"/>
    <w:next w:val="634"/>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4"/>
    <w:next w:val="63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link w:val="661"/>
    <w:uiPriority w:val="99"/>
    <w:qFormat/>
  </w:style>
  <w:style w:type="character" w:styleId="698" w:customStyle="1">
    <w:name w:val="Footer Char"/>
    <w:link w:val="660"/>
    <w:uiPriority w:val="99"/>
    <w:qFormat/>
  </w:style>
  <w:style w:type="character" w:styleId="699" w:customStyle="1">
    <w:name w:val="Caption Char"/>
    <w:link w:val="660"/>
    <w:uiPriority w:val="99"/>
    <w:qFormat/>
  </w:style>
  <w:style w:type="table" w:styleId="7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65"/>
    <w:uiPriority w:val="99"/>
    <w:qFormat/>
    <w:rPr>
      <w:sz w:val="18"/>
    </w:rPr>
  </w:style>
  <w:style w:type="character" w:styleId="826" w:customStyle="1">
    <w:name w:val="Endnote Text Char"/>
    <w:link w:val="659"/>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标题 21"/>
    <w:basedOn w:val="634"/>
    <w:next w:val="634"/>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29" w:customStyle="1">
    <w:name w:val="标题 31"/>
    <w:basedOn w:val="634"/>
    <w:next w:val="634"/>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830" w:customStyle="1">
    <w:name w:val="标题 411"/>
    <w:basedOn w:val="831"/>
    <w:next w:val="634"/>
    <w:uiPriority w:val="0"/>
    <w:qFormat/>
    <w:pPr>
      <w:keepLines/>
      <w:keepNext/>
      <w:spacing w:before="280" w:after="290" w:line="376" w:lineRule="auto"/>
      <w:outlineLvl w:val="3"/>
    </w:pPr>
    <w:rPr>
      <w:rFonts w:ascii="Arial" w:hAnsi="Arial" w:eastAsia="黑体"/>
      <w:b w:val="0"/>
      <w:bCs w:val="0"/>
      <w:sz w:val="28"/>
      <w:szCs w:val="28"/>
    </w:rPr>
  </w:style>
  <w:style w:type="paragraph" w:styleId="831" w:customStyle="1">
    <w:name w:val="标题 51"/>
    <w:basedOn w:val="634"/>
    <w:next w:val="634"/>
    <w:uiPriority w:val="0"/>
    <w:qFormat/>
    <w:pPr>
      <w:keepNext/>
      <w:outlineLvl w:val="4"/>
    </w:pPr>
    <w:rPr>
      <w:rFonts w:ascii="宋体" w:hAnsi="宋体"/>
      <w:b/>
      <w:bCs/>
    </w:rPr>
  </w:style>
  <w:style w:type="character" w:styleId="832" w:customStyle="1">
    <w:name w:val="默认段落字体1"/>
    <w:link w:val="634"/>
    <w:uiPriority w:val="1"/>
    <w:unhideWhenUsed/>
    <w:qFormat/>
  </w:style>
  <w:style w:type="table" w:styleId="833" w:customStyle="1">
    <w:name w:val="普通表格1"/>
    <w:uiPriority w:val="99"/>
    <w:unhideWhenUsed/>
    <w:qFormat/>
    <w:tblPr/>
  </w:style>
  <w:style w:type="paragraph" w:styleId="834" w:customStyle="1">
    <w:name w:val="正文缩进1"/>
    <w:basedOn w:val="634"/>
    <w:uiPriority w:val="0"/>
    <w:qFormat/>
    <w:pPr>
      <w:ind w:firstLine="420"/>
    </w:pPr>
  </w:style>
  <w:style w:type="paragraph" w:styleId="835" w:customStyle="1">
    <w:name w:val="批注文字1"/>
    <w:basedOn w:val="634"/>
    <w:uiPriority w:val="0"/>
    <w:qFormat/>
    <w:pPr>
      <w:jc w:val="left"/>
    </w:pPr>
  </w:style>
  <w:style w:type="paragraph" w:styleId="836" w:customStyle="1">
    <w:name w:val="正文文本11"/>
    <w:basedOn w:val="634"/>
    <w:next w:val="634"/>
    <w:uiPriority w:val="0"/>
    <w:unhideWhenUsed/>
    <w:qFormat/>
    <w:pPr>
      <w:spacing w:after="120"/>
    </w:pPr>
    <w:rPr>
      <w:rFonts w:ascii="Calibri" w:hAnsi="Calibri"/>
      <w:szCs w:val="22"/>
    </w:rPr>
  </w:style>
  <w:style w:type="paragraph" w:styleId="837" w:customStyle="1">
    <w:name w:val="正文文本缩进11"/>
    <w:basedOn w:val="634"/>
    <w:next w:val="838"/>
    <w:uiPriority w:val="99"/>
    <w:qFormat/>
    <w:pPr>
      <w:ind w:left="-105" w:firstLine="232"/>
    </w:pPr>
    <w:rPr>
      <w:rFonts w:eastAsia="仿宋_GB2312"/>
      <w:sz w:val="32"/>
      <w:szCs w:val="32"/>
    </w:rPr>
  </w:style>
  <w:style w:type="paragraph" w:styleId="838" w:customStyle="1">
    <w:name w:val="寄信人地址11"/>
    <w:basedOn w:val="634"/>
    <w:uiPriority w:val="0"/>
    <w:qFormat/>
    <w:rPr>
      <w:rFonts w:ascii="Arial" w:hAnsi="Arial" w:cs="Arial"/>
    </w:rPr>
  </w:style>
  <w:style w:type="paragraph" w:styleId="839" w:customStyle="1">
    <w:name w:val="纯文本1"/>
    <w:basedOn w:val="634"/>
    <w:uiPriority w:val="0"/>
    <w:unhideWhenUsed/>
    <w:qFormat/>
    <w:rPr>
      <w:rFonts w:ascii="宋体" w:hAnsi="Courier New" w:cs="Courier New"/>
      <w:szCs w:val="21"/>
    </w:rPr>
  </w:style>
  <w:style w:type="paragraph" w:styleId="840" w:customStyle="1">
    <w:name w:val="页脚11"/>
    <w:basedOn w:val="634"/>
    <w:link w:val="841"/>
    <w:uiPriority w:val="0"/>
    <w:qFormat/>
    <w:pPr>
      <w:jc w:val="left"/>
      <w:tabs>
        <w:tab w:val="center" w:pos="4153" w:leader="none"/>
        <w:tab w:val="right" w:pos="8306" w:leader="none"/>
      </w:tabs>
    </w:pPr>
    <w:rPr>
      <w:sz w:val="18"/>
      <w:szCs w:val="18"/>
    </w:rPr>
  </w:style>
  <w:style w:type="character" w:styleId="841" w:customStyle="1">
    <w:name w:val="页脚 Char"/>
    <w:basedOn w:val="832"/>
    <w:link w:val="840"/>
    <w:uiPriority w:val="0"/>
    <w:qFormat/>
    <w:rPr>
      <w:rFonts w:ascii="Calibri" w:hAnsi="Calibri" w:eastAsia="宋体" w:cs="Times New Roman"/>
      <w:sz w:val="18"/>
      <w:szCs w:val="18"/>
    </w:rPr>
  </w:style>
  <w:style w:type="paragraph" w:styleId="842" w:customStyle="1">
    <w:name w:val="页眉1"/>
    <w:basedOn w:val="634"/>
    <w:link w:val="843"/>
    <w:uiPriority w:val="0"/>
    <w:qFormat/>
    <w:pPr>
      <w:jc w:val="center"/>
      <w:tabs>
        <w:tab w:val="center" w:pos="4153" w:leader="none"/>
        <w:tab w:val="right" w:pos="8306" w:leader="none"/>
      </w:tabs>
      <w:pBdr>
        <w:bottom w:val="single" w:color="000000" w:sz="6" w:space="1"/>
      </w:pBdr>
    </w:pPr>
    <w:rPr>
      <w:sz w:val="18"/>
      <w:szCs w:val="18"/>
    </w:rPr>
  </w:style>
  <w:style w:type="character" w:styleId="843" w:customStyle="1">
    <w:name w:val="页眉 Char"/>
    <w:basedOn w:val="832"/>
    <w:link w:val="842"/>
    <w:uiPriority w:val="0"/>
    <w:qFormat/>
    <w:rPr>
      <w:rFonts w:ascii="Calibri" w:hAnsi="Calibri" w:eastAsia="宋体" w:cs="Times New Roman"/>
      <w:sz w:val="18"/>
      <w:szCs w:val="18"/>
    </w:rPr>
  </w:style>
  <w:style w:type="paragraph" w:styleId="844" w:customStyle="1">
    <w:name w:val="普通(网站)12"/>
    <w:basedOn w:val="634"/>
    <w:uiPriority w:val="0"/>
    <w:qFormat/>
    <w:pPr>
      <w:jc w:val="left"/>
      <w:spacing w:beforeAutospacing="1" w:afterAutospacing="1"/>
    </w:pPr>
    <w:rPr>
      <w:rFonts w:cs="Times New Roman"/>
      <w:sz w:val="24"/>
    </w:rPr>
  </w:style>
  <w:style w:type="paragraph" w:styleId="845" w:customStyle="1">
    <w:name w:val="正文首行缩进 211"/>
    <w:basedOn w:val="837"/>
    <w:next w:val="834"/>
    <w:uiPriority w:val="0"/>
    <w:qFormat/>
    <w:pPr>
      <w:ind w:left="420" w:firstLine="420"/>
      <w:spacing w:after="120"/>
    </w:pPr>
    <w:rPr>
      <w:sz w:val="21"/>
      <w:szCs w:val="24"/>
    </w:rPr>
  </w:style>
  <w:style w:type="table" w:styleId="846" w:customStyle="1">
    <w:name w:val="网格型11"/>
    <w:basedOn w:val="833"/>
    <w:uiPriority w:val="59"/>
    <w:qFormat/>
    <w:pPr>
      <w:spacing w:after="0" w:line="240" w:lineRule="auto"/>
    </w:pPr>
    <w:tblPr/>
  </w:style>
  <w:style w:type="character" w:styleId="847" w:customStyle="1">
    <w:name w:val="要点1"/>
    <w:basedOn w:val="832"/>
    <w:link w:val="634"/>
    <w:uiPriority w:val="0"/>
    <w:qFormat/>
    <w:rPr>
      <w:b/>
    </w:rPr>
  </w:style>
  <w:style w:type="paragraph" w:styleId="8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9" w:customStyle="1">
    <w:name w:val="页脚1"/>
    <w:basedOn w:val="634"/>
    <w:uiPriority w:val="99"/>
    <w:unhideWhenUsed/>
    <w:qFormat/>
    <w:pPr>
      <w:jc w:val="left"/>
      <w:tabs>
        <w:tab w:val="center" w:pos="4153" w:leader="none"/>
        <w:tab w:val="right" w:pos="8306" w:leader="none"/>
      </w:tabs>
    </w:pPr>
    <w:rPr>
      <w:sz w:val="18"/>
      <w:szCs w:val="18"/>
    </w:rPr>
  </w:style>
  <w:style w:type="paragraph" w:styleId="850" w:customStyle="1">
    <w:name w:val="普通正文"/>
    <w:basedOn w:val="634"/>
    <w:uiPriority w:val="0"/>
    <w:qFormat/>
    <w:pPr>
      <w:ind w:firstLine="480"/>
      <w:jc w:val="left"/>
      <w:spacing w:before="120" w:after="120" w:line="360" w:lineRule="auto"/>
    </w:pPr>
    <w:rPr>
      <w:rFonts w:ascii="Arial" w:hAnsi="Arial" w:eastAsia="等线" w:cs="Arial"/>
      <w:sz w:val="24"/>
      <w:szCs w:val="24"/>
    </w:rPr>
  </w:style>
  <w:style w:type="paragraph" w:styleId="851" w:customStyle="1">
    <w:name w:val="正文首行缩进 21"/>
    <w:basedOn w:val="852"/>
    <w:uiPriority w:val="0"/>
    <w:qFormat/>
    <w:pPr>
      <w:ind w:firstLine="420"/>
    </w:pPr>
  </w:style>
  <w:style w:type="paragraph" w:styleId="852" w:customStyle="1">
    <w:name w:val="正文文本缩进1"/>
    <w:basedOn w:val="634"/>
    <w:next w:val="853"/>
    <w:uiPriority w:val="0"/>
    <w:qFormat/>
    <w:pPr>
      <w:ind w:left="420"/>
      <w:spacing w:after="120"/>
    </w:pPr>
  </w:style>
  <w:style w:type="paragraph" w:styleId="853" w:customStyle="1">
    <w:name w:val="寄信人地址1"/>
    <w:basedOn w:val="854"/>
    <w:uiPriority w:val="0"/>
    <w:qFormat/>
    <w:rPr>
      <w:rFonts w:ascii="Arial" w:hAnsi="Arial"/>
    </w:rPr>
  </w:style>
  <w:style w:type="paragraph" w:styleId="854" w:customStyle="1">
    <w:name w:val="正文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文本块1"/>
    <w:basedOn w:val="856"/>
    <w:next w:val="861"/>
    <w:uiPriority w:val="0"/>
    <w:qFormat/>
    <w:pPr>
      <w:ind w:left="420" w:right="33"/>
      <w:jc w:val="left"/>
    </w:pPr>
    <w:rPr>
      <w:sz w:val="24"/>
      <w:szCs w:val="20"/>
    </w:rPr>
  </w:style>
  <w:style w:type="paragraph" w:styleId="856" w:customStyle="1">
    <w:name w:val="正文1"/>
    <w:basedOn w:val="857"/>
    <w:next w:val="858"/>
    <w:uiPriority w:val="0"/>
    <w:qFormat/>
    <w:pPr>
      <w:jc w:val="both"/>
      <w:widowControl w:val="off"/>
    </w:pPr>
    <w:rPr>
      <w:rFonts w:ascii="Times New Roman" w:hAnsi="Times New Roman" w:eastAsia="宋体" w:cs="Times New Roman"/>
      <w:sz w:val="21"/>
      <w:szCs w:val="24"/>
      <w:lang w:val="en-US" w:eastAsia="zh-CN" w:bidi="ar-SA"/>
    </w:rPr>
  </w:style>
  <w:style w:type="paragraph" w:styleId="857" w:customStyle="1">
    <w:name w:val="正文11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目录 11"/>
    <w:basedOn w:val="856"/>
    <w:next w:val="859"/>
    <w:uiPriority w:val="0"/>
    <w:qFormat/>
  </w:style>
  <w:style w:type="paragraph" w:styleId="859" w:customStyle="1">
    <w:name w:val="正文12"/>
    <w:next w:val="86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60" w:customStyle="1">
    <w:name w:val="正文文本111"/>
    <w:basedOn w:val="859"/>
    <w:next w:val="859"/>
    <w:uiPriority w:val="0"/>
    <w:qFormat/>
  </w:style>
  <w:style w:type="paragraph" w:styleId="861" w:customStyle="1">
    <w:name w:val="标题 41"/>
    <w:basedOn w:val="859"/>
    <w:next w:val="634"/>
    <w:uiPriority w:val="0"/>
    <w:qFormat/>
    <w:pPr>
      <w:keepLines/>
      <w:keepNext/>
      <w:spacing w:before="280" w:after="290" w:line="376" w:lineRule="auto"/>
      <w:outlineLvl w:val="3"/>
    </w:pPr>
    <w:rPr>
      <w:rFonts w:ascii="Cambria" w:hAnsi="Cambria"/>
      <w:b/>
      <w:bCs/>
      <w:sz w:val="28"/>
      <w:szCs w:val="28"/>
    </w:rPr>
  </w:style>
  <w:style w:type="paragraph" w:styleId="862" w:customStyle="1">
    <w:name w:val="普通(网站)11"/>
    <w:basedOn w:val="634"/>
    <w:uiPriority w:val="0"/>
    <w:qFormat/>
    <w:pPr>
      <w:jc w:val="left"/>
      <w:spacing w:beforeAutospacing="1" w:afterAutospacing="1"/>
    </w:pPr>
    <w:rPr>
      <w:rFonts w:cs="Times New Roman"/>
      <w:sz w:val="24"/>
    </w:rPr>
  </w:style>
  <w:style w:type="paragraph" w:styleId="863" w:customStyle="1">
    <w:name w:val="普通(网站)1"/>
    <w:basedOn w:val="634"/>
    <w:uiPriority w:val="0"/>
    <w:qFormat/>
    <w:pPr>
      <w:jc w:val="left"/>
      <w:spacing w:beforeAutospacing="1" w:afterAutospacing="1"/>
    </w:pPr>
    <w:rPr>
      <w:rFonts w:cs="Times New Roman"/>
      <w:sz w:val="24"/>
    </w:rPr>
  </w:style>
  <w:style w:type="character" w:styleId="864" w:customStyle="1">
    <w:name w:val="font11"/>
    <w:link w:val="634"/>
    <w:uiPriority w:val="0"/>
    <w:qFormat/>
    <w:rPr>
      <w:rFonts w:hint="eastAsia" w:ascii="仿宋" w:hAnsi="仿宋" w:eastAsia="仿宋" w:cs="仿宋"/>
      <w:color w:val="000000"/>
      <w:sz w:val="20"/>
      <w:szCs w:val="20"/>
      <w:u w:val="none"/>
    </w:rPr>
  </w:style>
  <w:style w:type="paragraph" w:styleId="865" w:customStyle="1">
    <w:name w:val="正文文本1"/>
    <w:basedOn w:val="634"/>
    <w:next w:val="634"/>
    <w:uiPriority w:val="0"/>
    <w:unhideWhenUsed/>
    <w:qFormat/>
    <w:pPr>
      <w:spacing w:after="120"/>
    </w:pPr>
    <w:rPr>
      <w:rFonts w:ascii="Calibri" w:hAnsi="Calibri"/>
      <w:szCs w:val="22"/>
    </w:rPr>
  </w:style>
  <w:style w:type="paragraph" w:styleId="866">
    <w:name w:val="List Paragraph"/>
    <w:basedOn w:val="634"/>
    <w:uiPriority w:val="34"/>
    <w:qFormat/>
    <w:pPr>
      <w:ind w:firstLine="420"/>
    </w:pPr>
  </w:style>
  <w:style w:type="paragraph" w:styleId="867" w:customStyle="1">
    <w:name w:val="段"/>
    <w:next w:val="634"/>
    <w:uiPriority w:val="0"/>
    <w:qFormat/>
    <w:pPr>
      <w:ind w:firstLine="200"/>
      <w:jc w:val="both"/>
    </w:pPr>
    <w:rPr>
      <w:rFonts w:hint="default" w:ascii="宋体" w:hAnsi="Calibri" w:eastAsia="Times New Roman" w:cs="宋体"/>
      <w:sz w:val="21"/>
    </w:rPr>
  </w:style>
  <w:style w:type="table" w:styleId="868" w:customStyle="1">
    <w:name w:val="网格型1"/>
    <w:basedOn w:val="833"/>
    <w:uiPriority w:val="0"/>
    <w:qFormat/>
    <w:pPr>
      <w:jc w:val="both"/>
      <w:widowControl w:val="off"/>
    </w:pPr>
    <w:tblPr/>
  </w:style>
  <w:style w:type="paragraph" w:styleId="869" w:customStyle="1">
    <w:name w:val="Table Text"/>
    <w:basedOn w:val="634"/>
    <w:uiPriority w:val="0"/>
    <w:semiHidden/>
    <w:qFormat/>
    <w:rPr>
      <w:rFonts w:ascii="宋体" w:hAnsi="宋体" w:eastAsia="宋体" w:cs="宋体"/>
      <w:sz w:val="24"/>
      <w:szCs w:val="24"/>
    </w:rPr>
  </w:style>
  <w:style w:type="table" w:styleId="870" w:customStyle="1">
    <w:name w:val="Table Normal"/>
    <w:uiPriority w:val="0"/>
    <w:unhideWhenUsed/>
    <w:qFormat/>
    <w:tblPr>
      <w:tblCellMar>
        <w:left w:w="0" w:type="dxa"/>
        <w:top w:w="0" w:type="dxa"/>
        <w:right w:w="0" w:type="dxa"/>
        <w:bottom w:w="0" w:type="dxa"/>
      </w:tblCellMar>
    </w:tblPr>
  </w:style>
  <w:style w:type="numbering" w:styleId="13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27</cp:revision>
  <dcterms:created xsi:type="dcterms:W3CDTF">2014-10-29T12:08:00Z</dcterms:created>
  <dcterms:modified xsi:type="dcterms:W3CDTF">2025-10-13T07:02:47Z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692BC4B4CE614835B3ED3B1CD8584E53</vt:lpwstr>
  </property>
</Properties>
</file>